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F8FB8" w14:textId="77777777" w:rsidR="00790A59" w:rsidRPr="00790A59" w:rsidRDefault="00790A59" w:rsidP="00790A59">
      <w:r w:rsidRPr="00790A59">
        <w:rPr>
          <w:b/>
          <w:bCs/>
        </w:rPr>
        <w:t>Titel der Initiative:</w:t>
      </w:r>
      <w:r w:rsidRPr="00790A59">
        <w:br/>
        <w:t>Reduktion von Probenverwechslungen durch die Implementierung einer digitalen Blutabnahmesoftware</w:t>
      </w:r>
    </w:p>
    <w:p w14:paraId="2869623B" w14:textId="77777777" w:rsidR="00790A59" w:rsidRPr="00790A59" w:rsidRDefault="00790A59" w:rsidP="00790A59">
      <w:r w:rsidRPr="00790A59">
        <w:rPr>
          <w:b/>
          <w:bCs/>
        </w:rPr>
        <w:t>Bereich der Initiative:</w:t>
      </w:r>
      <w:r w:rsidRPr="00790A59">
        <w:br/>
        <w:t>Stationär</w:t>
      </w:r>
    </w:p>
    <w:p w14:paraId="6DEA49D9" w14:textId="77777777" w:rsidR="00790A59" w:rsidRPr="00790A59" w:rsidRDefault="00790A59" w:rsidP="00790A59">
      <w:r w:rsidRPr="00790A59">
        <w:rPr>
          <w:b/>
          <w:bCs/>
        </w:rPr>
        <w:t>Kurzbeschreibung der Initiative:</w:t>
      </w:r>
      <w:r w:rsidRPr="00790A59">
        <w:br/>
        <w:t>Im Projekt „Reduktion von Probenverwechslungen durch die Implementierung einer digitalen Blutabnahmesoftware“ wurde mit dem Ziel gestartet, die Patient*innensicherheit im klinischen Alltag systematisch und nachhaltig zu erhöhen. Im Mittelpunkt stand die Reduktion von Blutprobenverwechslungen – einem auch heute noch realen Risiko trotz vorhandener Richtlinien und Standards.</w:t>
      </w:r>
    </w:p>
    <w:p w14:paraId="501FF08F" w14:textId="77777777" w:rsidR="00790A59" w:rsidRPr="00790A59" w:rsidRDefault="00790A59" w:rsidP="00790A59">
      <w:r w:rsidRPr="00790A59">
        <w:t>Zur Zielerreichung wurde im Krankenhaus Ried im Innkreis eine digitale Blutröhrchensoftware (BRS) eingeführt, welche mittels Barcode-Scan des Patient</w:t>
      </w:r>
      <w:r w:rsidRPr="00790A59">
        <w:rPr>
          <w:i/>
          <w:iCs/>
        </w:rPr>
        <w:t>innenarmbands und der entnommenen Blutröhrchen eine eindeutige, sichere und standardisierte Zuordnung der entnommenen Blutproben gewährleistet. Die technische Umsetzung erfolgte nicht als isoliertes IT-Projekt, sondern als praxisnahes, interdisziplinäres Veränderungsvorhaben. Pflegepersonal, ärztliche Mitarbeitende sowie IT-Expert</w:t>
      </w:r>
      <w:r w:rsidRPr="00790A59">
        <w:t>innen arbeiteten eng zusammen. Die Software wurde in enger Rückkopplung mit den klinischen Nutzer*innen laufend weiterentwickelt und kontinuierlich an die realen Anforderungen auf den Stationen angepasst. So entstand ein stabiles, benutzerfreundliches System, das sowohl die Prozesssicherheit als auch das Bewusstsein für potenzielle Fehlerquellen nachhaltig verbessert und langfristig zur Risikominimierung beiträgt.</w:t>
      </w:r>
    </w:p>
    <w:p w14:paraId="745C78FC" w14:textId="77777777" w:rsidR="00790A59" w:rsidRPr="00790A59" w:rsidRDefault="00790A59" w:rsidP="00790A59">
      <w:r w:rsidRPr="00790A59">
        <w:rPr>
          <w:b/>
          <w:bCs/>
        </w:rPr>
        <w:t>Darstellung Ausgangslage:</w:t>
      </w:r>
      <w:r w:rsidRPr="00790A59">
        <w:br/>
        <w:t>Trotz bestehender Standards und Richtlinien zur sicheren Blutabnahme stellen Blutprobenverwechslungen weiterhin ein relevantes Risiko in der klinischen Praxis dar. Solche Verwechslungen können schwerwiegende Folgen für Patient*innen haben – von Fehldiagnosen über unnötige oder ausbleibende Therapien bis hin zu rechtlichen Konsequenzen.</w:t>
      </w:r>
    </w:p>
    <w:p w14:paraId="1A9A4FFD" w14:textId="77777777" w:rsidR="00790A59" w:rsidRPr="00790A59" w:rsidRDefault="00790A59" w:rsidP="00790A59">
      <w:r w:rsidRPr="00790A59">
        <w:t>Im klinischen Alltag zeigte sich zudem, dass die manuelle Etikettierung der Proben eine fehleranfällige Schnittstelle darstellt, insbesondere bei hoher Arbeitsbelastung und in komplexen Versorgungssituationen. Das Krankenhaus Ried im Innkreis identifizierte diesen Bereich als sicherheitskritischen Prozess und leitete ein gezieltes Projekt ein, um die Patient*innensicherheit systematisch zu verbessern. Ziel war es, eine nachhaltige Reduktion von Probenverwechslungen zu erreichen und gleichzeitig die Arbeitsabläufe für die Mitarbeitenden zu standardisieren und zu entlasten. Die Ausgangslage machte ein interdisziplinär getragenes Veränderungsvorhaben erforderlich, das technische, organisatorische und kulturelle Aspekte gleichermaßen berücksichtigte.</w:t>
      </w:r>
    </w:p>
    <w:p w14:paraId="2CFB5AE1" w14:textId="77777777" w:rsidR="00790A59" w:rsidRPr="00790A59" w:rsidRDefault="00790A59" w:rsidP="00790A59">
      <w:r w:rsidRPr="00790A59">
        <w:rPr>
          <w:b/>
          <w:bCs/>
        </w:rPr>
        <w:t>Konkrete Beschreibung:</w:t>
      </w:r>
      <w:r w:rsidRPr="00790A59">
        <w:br/>
        <w:t>Die Durchführung des Projekts basierte auf einem strukturierten Projektauftrag. Die Projektgruppe setzte sich multiprofessionell aus Vertreter*innen der Pflege, Medizin, IT, des Labors sowie des Qualitäts- und Risikomanagements zusammen.</w:t>
      </w:r>
    </w:p>
    <w:p w14:paraId="41DA2588" w14:textId="77777777" w:rsidR="00790A59" w:rsidRPr="00790A59" w:rsidRDefault="00790A59" w:rsidP="00790A59">
      <w:pPr>
        <w:numPr>
          <w:ilvl w:val="0"/>
          <w:numId w:val="1"/>
        </w:numPr>
      </w:pPr>
      <w:r w:rsidRPr="00790A59">
        <w:rPr>
          <w:b/>
          <w:bCs/>
        </w:rPr>
        <w:t>Software-Einführung:</w:t>
      </w:r>
      <w:r w:rsidRPr="00790A59">
        <w:t xml:space="preserve"> Zentrale Maßnahme war die Einführung der hausintern entwickelten digitalen Blutröhrchensoftware (BRS).</w:t>
      </w:r>
    </w:p>
    <w:p w14:paraId="68DEAA4C" w14:textId="77777777" w:rsidR="00790A59" w:rsidRPr="00790A59" w:rsidRDefault="00790A59" w:rsidP="00790A59">
      <w:pPr>
        <w:numPr>
          <w:ilvl w:val="0"/>
          <w:numId w:val="1"/>
        </w:numPr>
      </w:pPr>
      <w:r w:rsidRPr="00790A59">
        <w:rPr>
          <w:b/>
          <w:bCs/>
        </w:rPr>
        <w:t>Pilotphase:</w:t>
      </w:r>
      <w:r w:rsidRPr="00790A59">
        <w:t xml:space="preserve"> Nach einer intensiven Pilotphase auf zwei Stationen wurde die Software mehrfach angepasst, weiterentwickelt und optimiert.</w:t>
      </w:r>
    </w:p>
    <w:p w14:paraId="413801EC" w14:textId="77777777" w:rsidR="00790A59" w:rsidRPr="00790A59" w:rsidRDefault="00790A59" w:rsidP="00790A59">
      <w:pPr>
        <w:numPr>
          <w:ilvl w:val="0"/>
          <w:numId w:val="1"/>
        </w:numPr>
      </w:pPr>
      <w:r w:rsidRPr="00790A59">
        <w:rPr>
          <w:b/>
          <w:bCs/>
        </w:rPr>
        <w:t>Rollout:</w:t>
      </w:r>
      <w:r w:rsidRPr="00790A59">
        <w:t xml:space="preserve"> Die Implementierung erfolgte schrittweise auf weitere stationäre Bereiche anhand eines abgestimmten Rollout-Plans.</w:t>
      </w:r>
    </w:p>
    <w:p w14:paraId="1CAE8C2F" w14:textId="77777777" w:rsidR="00790A59" w:rsidRPr="00790A59" w:rsidRDefault="00790A59" w:rsidP="00790A59">
      <w:pPr>
        <w:numPr>
          <w:ilvl w:val="0"/>
          <w:numId w:val="1"/>
        </w:numPr>
      </w:pPr>
      <w:r w:rsidRPr="00790A59">
        <w:rPr>
          <w:b/>
          <w:bCs/>
        </w:rPr>
        <w:lastRenderedPageBreak/>
        <w:t>Hardware:</w:t>
      </w:r>
      <w:r w:rsidRPr="00790A59">
        <w:t xml:space="preserve"> Verschiedene mobile Endgeräte (Handscanner, Smartphones, Tablets) wurden getestet. Die Wahl fiel auf Tablets, die funktional und hygienisch geeignet waren. Auch infrastrukturelle Anpassungen wie die WLAN-Ausleuchtung wurden umgesetzt.</w:t>
      </w:r>
    </w:p>
    <w:p w14:paraId="6F44AB8E" w14:textId="77777777" w:rsidR="00790A59" w:rsidRPr="00790A59" w:rsidRDefault="00790A59" w:rsidP="00790A59">
      <w:pPr>
        <w:numPr>
          <w:ilvl w:val="0"/>
          <w:numId w:val="1"/>
        </w:numPr>
      </w:pPr>
      <w:r w:rsidRPr="00790A59">
        <w:rPr>
          <w:b/>
          <w:bCs/>
        </w:rPr>
        <w:t>Schulungen:</w:t>
      </w:r>
      <w:r w:rsidRPr="00790A59">
        <w:t xml:space="preserve"> Schulungsmaßnahmen erfolgten in Form von Einweisungen vor Ort, praxisnahen Demonstrationen und schriftlichen Handlungsanleitungen. Die Einbindung der Führungskräfte sicherte einen flächendeckenden Rollout.</w:t>
      </w:r>
    </w:p>
    <w:p w14:paraId="3876678A" w14:textId="77777777" w:rsidR="00790A59" w:rsidRPr="00790A59" w:rsidRDefault="00790A59" w:rsidP="00790A59">
      <w:pPr>
        <w:numPr>
          <w:ilvl w:val="0"/>
          <w:numId w:val="1"/>
        </w:numPr>
      </w:pPr>
      <w:r w:rsidRPr="00790A59">
        <w:rPr>
          <w:b/>
          <w:bCs/>
        </w:rPr>
        <w:t>Evaluation:</w:t>
      </w:r>
      <w:r w:rsidRPr="00790A59">
        <w:t xml:space="preserve"> Parallel wurde das interne Fehlermeldesystem (hiSAM) genutzt. Die wissenschaftliche Evaluation erfolgte im Rahmen einer retrospektiven Masterarbeit, in der hiSAM-Meldungen aus den Jahren 2015 bis 2024 analysiert wurden.</w:t>
      </w:r>
    </w:p>
    <w:p w14:paraId="316EE3D6" w14:textId="77777777" w:rsidR="00790A59" w:rsidRPr="00790A59" w:rsidRDefault="00790A59" w:rsidP="00790A59">
      <w:r w:rsidRPr="00790A59">
        <w:rPr>
          <w:b/>
          <w:bCs/>
        </w:rPr>
        <w:t>Klinische Relevanz:</w:t>
      </w:r>
      <w:r w:rsidRPr="00790A59">
        <w:br/>
        <w:t xml:space="preserve">Die Auswertung der Meldedaten zeigte nach Einführung der digitalen Blutröhrchensoftware (BRS) eine </w:t>
      </w:r>
      <w:r w:rsidRPr="00790A59">
        <w:rPr>
          <w:b/>
          <w:bCs/>
        </w:rPr>
        <w:t>deutliche Verringerung von Blutprobenverwechslungen um rund 40 %</w:t>
      </w:r>
      <w:r w:rsidRPr="00790A59">
        <w:t>. Die Software ermöglicht eine eindeutige Zuordnung der Proben durch Scannen des Patient</w:t>
      </w:r>
      <w:r w:rsidRPr="00790A59">
        <w:rPr>
          <w:i/>
          <w:iCs/>
        </w:rPr>
        <w:t>innenarmbands und direkter Röhrchenzuordnung am Patient</w:t>
      </w:r>
      <w:r w:rsidRPr="00790A59">
        <w:t>innenbett, wodurch die manuelle Etikettierung als Fehlerquelle vermieden wird.</w:t>
      </w:r>
    </w:p>
    <w:p w14:paraId="06276642" w14:textId="77777777" w:rsidR="00790A59" w:rsidRPr="00790A59" w:rsidRDefault="00790A59" w:rsidP="00790A59">
      <w:r w:rsidRPr="00790A59">
        <w:t>Dies führt zu:</w:t>
      </w:r>
    </w:p>
    <w:p w14:paraId="308A9977" w14:textId="77777777" w:rsidR="00790A59" w:rsidRPr="00790A59" w:rsidRDefault="00790A59" w:rsidP="00790A59">
      <w:pPr>
        <w:numPr>
          <w:ilvl w:val="0"/>
          <w:numId w:val="2"/>
        </w:numPr>
      </w:pPr>
      <w:r w:rsidRPr="00790A59">
        <w:rPr>
          <w:b/>
          <w:bCs/>
        </w:rPr>
        <w:t>Direkter Erhöhung der Patient*innensicherheit</w:t>
      </w:r>
      <w:r w:rsidRPr="00790A59">
        <w:t xml:space="preserve"> und Reduktion von Folgefehlern wie falschen Diagnosen oder Therapien.</w:t>
      </w:r>
    </w:p>
    <w:p w14:paraId="502E3981" w14:textId="77777777" w:rsidR="00790A59" w:rsidRPr="00790A59" w:rsidRDefault="00790A59" w:rsidP="00790A59">
      <w:pPr>
        <w:numPr>
          <w:ilvl w:val="0"/>
          <w:numId w:val="2"/>
        </w:numPr>
      </w:pPr>
      <w:r w:rsidRPr="00790A59">
        <w:rPr>
          <w:b/>
          <w:bCs/>
        </w:rPr>
        <w:t>Positiven Effekten für Mitarbeitende</w:t>
      </w:r>
      <w:r w:rsidRPr="00790A59">
        <w:t xml:space="preserve"> durch gesteigerte Prozessklarheit und spürbare Entlastung.</w:t>
      </w:r>
    </w:p>
    <w:p w14:paraId="1860EA73" w14:textId="77777777" w:rsidR="00790A59" w:rsidRPr="00790A59" w:rsidRDefault="00790A59" w:rsidP="00790A59">
      <w:pPr>
        <w:numPr>
          <w:ilvl w:val="0"/>
          <w:numId w:val="2"/>
        </w:numPr>
      </w:pPr>
      <w:r w:rsidRPr="00790A59">
        <w:rPr>
          <w:b/>
          <w:bCs/>
        </w:rPr>
        <w:t>Verbesserter Nachvollziehbarkeit</w:t>
      </w:r>
      <w:r w:rsidRPr="00790A59">
        <w:t xml:space="preserve"> und interdisziplinärer Zusammenarbeit.</w:t>
      </w:r>
    </w:p>
    <w:p w14:paraId="590EF66C" w14:textId="77777777" w:rsidR="00790A59" w:rsidRPr="00790A59" w:rsidRDefault="00790A59" w:rsidP="00790A59">
      <w:pPr>
        <w:numPr>
          <w:ilvl w:val="0"/>
          <w:numId w:val="2"/>
        </w:numPr>
      </w:pPr>
      <w:r w:rsidRPr="00790A59">
        <w:rPr>
          <w:b/>
          <w:bCs/>
        </w:rPr>
        <w:t>Etablierung einer nachhaltigen Sicherheitskultur</w:t>
      </w:r>
      <w:r w:rsidRPr="00790A59">
        <w:t xml:space="preserve"> und Sensibilisierung für Fehlerquellen.</w:t>
      </w:r>
    </w:p>
    <w:p w14:paraId="2E10735D" w14:textId="77777777" w:rsidR="00790A59" w:rsidRPr="00790A59" w:rsidRDefault="00790A59" w:rsidP="00790A59">
      <w:r w:rsidRPr="00790A59">
        <w:t>Das Projekt dient mittlerweile als Best-Practice-Beispiel für weitere Digitalisierungsprojekte.</w:t>
      </w:r>
    </w:p>
    <w:p w14:paraId="4826805D" w14:textId="77777777" w:rsidR="00790A59" w:rsidRPr="00790A59" w:rsidRDefault="00790A59" w:rsidP="00790A59">
      <w:r w:rsidRPr="00790A59">
        <w:rPr>
          <w:b/>
          <w:bCs/>
        </w:rPr>
        <w:t>Akzeptanz der Initiative:</w:t>
      </w:r>
      <w:r w:rsidRPr="00790A59">
        <w:br/>
        <w:t>Die Akzeptanz war ein zentraler Erfolgsfaktor. Sie wurde durch folgende Maßnahmen sichergestellt:</w:t>
      </w:r>
    </w:p>
    <w:p w14:paraId="081757DD" w14:textId="77777777" w:rsidR="00790A59" w:rsidRPr="00790A59" w:rsidRDefault="00790A59" w:rsidP="00790A59">
      <w:pPr>
        <w:numPr>
          <w:ilvl w:val="0"/>
          <w:numId w:val="3"/>
        </w:numPr>
      </w:pPr>
      <w:r w:rsidRPr="00790A59">
        <w:rPr>
          <w:b/>
          <w:bCs/>
        </w:rPr>
        <w:t>Frühzeitige Einbindung:</w:t>
      </w:r>
      <w:r w:rsidRPr="00790A59">
        <w:t xml:space="preserve"> Aktive Einbindung von Pflegepersonal, Laborfachkräften sowie IT- und Führungsebenen von Beginn an.</w:t>
      </w:r>
    </w:p>
    <w:p w14:paraId="0292783B" w14:textId="77777777" w:rsidR="00790A59" w:rsidRPr="00790A59" w:rsidRDefault="00790A59" w:rsidP="00790A59">
      <w:pPr>
        <w:numPr>
          <w:ilvl w:val="0"/>
          <w:numId w:val="3"/>
        </w:numPr>
      </w:pPr>
      <w:r w:rsidRPr="00790A59">
        <w:rPr>
          <w:b/>
          <w:bCs/>
        </w:rPr>
        <w:t>Partizipative Entwicklung:</w:t>
      </w:r>
      <w:r w:rsidRPr="00790A59">
        <w:t xml:space="preserve"> Rückmeldungen aus der Pilotphase flossen direkt in die Weiterentwicklung der Software ein, was zu einer hohen Identifikation führte.</w:t>
      </w:r>
    </w:p>
    <w:p w14:paraId="481B12BA" w14:textId="77777777" w:rsidR="00790A59" w:rsidRPr="00790A59" w:rsidRDefault="00790A59" w:rsidP="00790A59">
      <w:pPr>
        <w:numPr>
          <w:ilvl w:val="0"/>
          <w:numId w:val="3"/>
        </w:numPr>
      </w:pPr>
      <w:r w:rsidRPr="00790A59">
        <w:rPr>
          <w:b/>
          <w:bCs/>
        </w:rPr>
        <w:t>Anwenderorientierte Ausstattung:</w:t>
      </w:r>
      <w:r w:rsidRPr="00790A59">
        <w:t xml:space="preserve"> Die Wahl der Endgeräte (Tablets) basierte auf praktischen Tests und Erfahrungen der Teams.</w:t>
      </w:r>
    </w:p>
    <w:p w14:paraId="51AA3241" w14:textId="77777777" w:rsidR="00790A59" w:rsidRPr="00790A59" w:rsidRDefault="00790A59" w:rsidP="00790A59">
      <w:pPr>
        <w:numPr>
          <w:ilvl w:val="0"/>
          <w:numId w:val="3"/>
        </w:numPr>
      </w:pPr>
      <w:r w:rsidRPr="00790A59">
        <w:rPr>
          <w:b/>
          <w:bCs/>
        </w:rPr>
        <w:t>Begleitende Unterstützung:</w:t>
      </w:r>
      <w:r w:rsidRPr="00790A59">
        <w:t xml:space="preserve"> Anfängliche Bedenken wurden durch Schulungen, persönlichen Support und eine offene Feedbackkultur aufgefangen.</w:t>
      </w:r>
    </w:p>
    <w:p w14:paraId="0956B970" w14:textId="77777777" w:rsidR="00790A59" w:rsidRPr="00790A59" w:rsidRDefault="00790A59" w:rsidP="00790A59">
      <w:r w:rsidRPr="00790A59">
        <w:t>Die Kombination aus Mitgestaltung, transparenter Kommunikation und greifbarem Nutzen führte zu einer breiten und nachhaltigen Durchdringung der Maßnahme.</w:t>
      </w:r>
    </w:p>
    <w:p w14:paraId="5F14BEA6" w14:textId="77777777" w:rsidR="00790A59" w:rsidRPr="00790A59" w:rsidRDefault="00790A59" w:rsidP="00790A59">
      <w:r w:rsidRPr="00790A59">
        <w:rPr>
          <w:b/>
          <w:bCs/>
        </w:rPr>
        <w:t>Multidisziplinarität der Initiative:</w:t>
      </w:r>
      <w:r w:rsidRPr="00790A59">
        <w:br/>
        <w:t>Das Projekt basierte auf einer konsequent multidisziplinären Zusammenarbeit. In der Projektgruppe waren Expert*innen aus folgenden Bereichen vertreten:</w:t>
      </w:r>
    </w:p>
    <w:p w14:paraId="39E2D2A7" w14:textId="77777777" w:rsidR="00790A59" w:rsidRPr="00790A59" w:rsidRDefault="00790A59" w:rsidP="00790A59">
      <w:pPr>
        <w:numPr>
          <w:ilvl w:val="0"/>
          <w:numId w:val="4"/>
        </w:numPr>
      </w:pPr>
      <w:r w:rsidRPr="00790A59">
        <w:t>Pflege</w:t>
      </w:r>
    </w:p>
    <w:p w14:paraId="4DB81D2B" w14:textId="77777777" w:rsidR="00790A59" w:rsidRPr="00790A59" w:rsidRDefault="00790A59" w:rsidP="00790A59">
      <w:pPr>
        <w:numPr>
          <w:ilvl w:val="0"/>
          <w:numId w:val="4"/>
        </w:numPr>
      </w:pPr>
      <w:r w:rsidRPr="00790A59">
        <w:lastRenderedPageBreak/>
        <w:t>Medizin</w:t>
      </w:r>
    </w:p>
    <w:p w14:paraId="2B43E5EC" w14:textId="77777777" w:rsidR="00790A59" w:rsidRPr="00790A59" w:rsidRDefault="00790A59" w:rsidP="00790A59">
      <w:pPr>
        <w:numPr>
          <w:ilvl w:val="0"/>
          <w:numId w:val="4"/>
        </w:numPr>
      </w:pPr>
      <w:r w:rsidRPr="00790A59">
        <w:t>IT</w:t>
      </w:r>
    </w:p>
    <w:p w14:paraId="66D84667" w14:textId="77777777" w:rsidR="00790A59" w:rsidRPr="00790A59" w:rsidRDefault="00790A59" w:rsidP="00790A59">
      <w:pPr>
        <w:numPr>
          <w:ilvl w:val="0"/>
          <w:numId w:val="4"/>
        </w:numPr>
      </w:pPr>
      <w:r w:rsidRPr="00790A59">
        <w:t>Labor</w:t>
      </w:r>
    </w:p>
    <w:p w14:paraId="1211DC0D" w14:textId="77777777" w:rsidR="00790A59" w:rsidRPr="00790A59" w:rsidRDefault="00790A59" w:rsidP="00790A59">
      <w:pPr>
        <w:numPr>
          <w:ilvl w:val="0"/>
          <w:numId w:val="4"/>
        </w:numPr>
      </w:pPr>
      <w:r w:rsidRPr="00790A59">
        <w:t>Qualitäts- und Risikomanagement</w:t>
      </w:r>
    </w:p>
    <w:p w14:paraId="52339126" w14:textId="77777777" w:rsidR="00790A59" w:rsidRPr="00790A59" w:rsidRDefault="00790A59" w:rsidP="00790A59">
      <w:r w:rsidRPr="00790A59">
        <w:t>Diese Zusammensetzung ermöglichte eine umfassende Betrachtung, die sicherstellte, dass technische Lösungen praxistauglich, anwenderfreundlich und sicherheitsorientiert umgesetzt wurden.</w:t>
      </w:r>
    </w:p>
    <w:p w14:paraId="1F544203" w14:textId="77777777" w:rsidR="00790A59" w:rsidRPr="00790A59" w:rsidRDefault="00790A59" w:rsidP="00790A59">
      <w:r w:rsidRPr="00790A59">
        <w:rPr>
          <w:b/>
          <w:bCs/>
        </w:rPr>
        <w:t>Erzielte Effekte:</w:t>
      </w:r>
      <w:r w:rsidRPr="00790A59">
        <w:br/>
        <w:t>Durch die Implementierung der digitalen Blutröhrchensoftware (BRS) konnten sowohl für Patient*innen als auch für Mitarbeitende spürbare Effekte erzielt werden. Im Zentrum steht die signifikante Reduktion von Blutprobenverwechslungen. Die Fehlerquote sank nach Einführung der Software um rund 40 %, was durch eine retrospektive Analyse von Meldedaten im internen Fehlermeldesystem hiSAM belegt wurde.</w:t>
      </w:r>
    </w:p>
    <w:p w14:paraId="7E753372" w14:textId="77777777" w:rsidR="00790A59" w:rsidRPr="00790A59" w:rsidRDefault="00790A59" w:rsidP="00790A59">
      <w:pPr>
        <w:numPr>
          <w:ilvl w:val="0"/>
          <w:numId w:val="5"/>
        </w:numPr>
      </w:pPr>
      <w:r w:rsidRPr="00790A59">
        <w:rPr>
          <w:b/>
          <w:bCs/>
        </w:rPr>
        <w:t>Für Patient*innen:</w:t>
      </w:r>
      <w:r w:rsidRPr="00790A59">
        <w:t xml:space="preserve"> Gesteigerte Sicherheit und Verlässlichkeit, Minimierung des Risikos von Fehldiagnosen und -therapien, Vertrauensgewinn in die klinischen Abläufe.</w:t>
      </w:r>
    </w:p>
    <w:p w14:paraId="71438BC1" w14:textId="77777777" w:rsidR="00790A59" w:rsidRPr="00790A59" w:rsidRDefault="00790A59" w:rsidP="00790A59">
      <w:pPr>
        <w:numPr>
          <w:ilvl w:val="0"/>
          <w:numId w:val="5"/>
        </w:numPr>
      </w:pPr>
      <w:r w:rsidRPr="00790A59">
        <w:rPr>
          <w:b/>
          <w:bCs/>
        </w:rPr>
        <w:t>Für Mitarbeitende:</w:t>
      </w:r>
      <w:r w:rsidRPr="00790A59">
        <w:t xml:space="preserve"> Weniger Stress, bessere Nachvollziehbarkeit, Verringerung der Fehleranfälligkeit und erhöhtes Sicherheitsgefühl.</w:t>
      </w:r>
    </w:p>
    <w:p w14:paraId="47556851" w14:textId="77777777" w:rsidR="00790A59" w:rsidRPr="00790A59" w:rsidRDefault="00790A59" w:rsidP="00790A59">
      <w:pPr>
        <w:numPr>
          <w:ilvl w:val="0"/>
          <w:numId w:val="5"/>
        </w:numPr>
      </w:pPr>
      <w:r w:rsidRPr="00790A59">
        <w:rPr>
          <w:b/>
          <w:bCs/>
        </w:rPr>
        <w:t>Kulturelle Ebene:</w:t>
      </w:r>
      <w:r w:rsidRPr="00790A59">
        <w:t xml:space="preserve"> Geschärftes Bewusstsein für Fehlerquellen und Förderung des interdisziplinären Austauschs.</w:t>
      </w:r>
    </w:p>
    <w:p w14:paraId="328FD959" w14:textId="77777777" w:rsidR="00790A59" w:rsidRPr="00790A59" w:rsidRDefault="00790A59" w:rsidP="00790A59">
      <w:pPr>
        <w:numPr>
          <w:ilvl w:val="0"/>
          <w:numId w:val="5"/>
        </w:numPr>
      </w:pPr>
      <w:r w:rsidRPr="00790A59">
        <w:rPr>
          <w:b/>
          <w:bCs/>
        </w:rPr>
        <w:t>Daten und Nachvollziehbarkeit:</w:t>
      </w:r>
      <w:r w:rsidRPr="00790A59">
        <w:t xml:space="preserve"> hiSAM diente als Datenquelle zur Erfolgsmessung. Die digitale Dokumentation macht den Prozess jederzeit rekonstruierbar.</w:t>
      </w:r>
    </w:p>
    <w:p w14:paraId="5391F0B7" w14:textId="77777777" w:rsidR="00790A59" w:rsidRPr="00790A59" w:rsidRDefault="00790A59" w:rsidP="00790A59">
      <w:r w:rsidRPr="00790A59">
        <w:rPr>
          <w:b/>
          <w:bCs/>
        </w:rPr>
        <w:t>Sicherstellung der Nachhaltigkeit:</w:t>
      </w:r>
      <w:r w:rsidRPr="00790A59">
        <w:br/>
        <w:t>(Der von Ihnen bereitgestellte Text für diesen Abschnitt ist eine Wiederholung des Abschnitts "Erzielte Effekte". Hier ist er wie angegeben formatiert.)</w:t>
      </w:r>
    </w:p>
    <w:p w14:paraId="20CC7DF7" w14:textId="77777777" w:rsidR="00790A59" w:rsidRPr="00790A59" w:rsidRDefault="00790A59" w:rsidP="00790A59">
      <w:r w:rsidRPr="00790A59">
        <w:t>Durch die Implementierung der digitalen Blutröhrchensoftware (BRS) konnten sowohl für Patientinnen als auch für Mitarbeitende spürbare Effekte erzielt werden. Im Zentrum steht die signifikante Reduktion von Blutprobenverwechslungen – einem der gravierendsten Risiken in der präanalytischen Phase. Die Fehlerquote sank nach Einführung der Software um rund 40 %, was durch eine retrospektive Analyse von Meldedaten im internen Fehlermeldesystem hiSAM belegt wurde. Für Patientinnen bedeutet dies eine gesteigerte Sicherheit und Verlässlichkeit im diagnostischen Prozess. Falschzuordnungen von Blutproben können schwerwiegende Folgen haben – von falschen Diagnosen bis hin zu unnötigen oder ausbleibenden Therapien. Durch die klare, digital gestützte Identifikation mittels Barcode-Scan wird das Risiko solcher Ereignisse minimiert. Der Vertrauensgewinn in die klinischen Abläufe trägt darüber hinaus zur subjektiven Wahrnehmung von Qualität und Sicherheit bei. Auch für Mitarbeitende ergaben sich konkrete positive Effekte. Pflegekräfte berichteten über weniger Stress bei der Blutabnahme und bessere Nachvollziehbarkeit. Technische Unterstützung und klare Standards verringerten die Fehleranfälligkeit und erhöhten das Sicherheitsgefühl im Team. Schulungsmaßnahmen, persönliche Einweisungen und eine gute technische Ausstattung trugen zur erfolgreichen Anwendung bei. hiSAM diente als zentrale Datenquelle zur Erfolgsmessung. Zusätzlich wurde die Akzeptanz und Wirkung der Maßnahme im Rahmen der Masterarbeit qualitativ analysiert.</w:t>
      </w:r>
    </w:p>
    <w:p w14:paraId="60092C45" w14:textId="77777777" w:rsidR="00790A59" w:rsidRPr="00790A59" w:rsidRDefault="00790A59" w:rsidP="00790A59">
      <w:r w:rsidRPr="00790A59">
        <w:rPr>
          <w:b/>
          <w:bCs/>
        </w:rPr>
        <w:t>Conflict of Interest:</w:t>
      </w:r>
      <w:r w:rsidRPr="00790A59">
        <w:br/>
        <w:t xml:space="preserve">Das Projekt wurde ausschließlich mit internen Mitteln des Krankenhauses Ried im Innkreis realisiert. Es wurden keine externen Berater*innen oder Beratungsfirmen in die Planung, Entwicklung oder </w:t>
      </w:r>
      <w:r w:rsidRPr="00790A59">
        <w:lastRenderedPageBreak/>
        <w:t>Umsetzung eingebunden. Die Entwicklung der Blutröhrchensoftware (BRS) erfolgte durch die interne IT-Abteilung. Eine Drittmittelfinanzierung bestand zu keinem Zeitpunkt.</w:t>
      </w:r>
    </w:p>
    <w:p w14:paraId="5AF42E1A" w14:textId="77777777" w:rsidR="00790A59" w:rsidRPr="00790A59" w:rsidRDefault="00790A59" w:rsidP="00790A59">
      <w:r w:rsidRPr="00790A59">
        <w:rPr>
          <w:b/>
          <w:bCs/>
        </w:rPr>
        <w:t>Projektdauer:</w:t>
      </w:r>
      <w:r w:rsidRPr="00790A59">
        <w:br/>
        <w:t>Die Projektlaufzeit erstreckte sich von der initialen Konzeptionsphase im Jahr 2021 über die Pilotierung ab 2022 in einer Zeit von gesamt 20 Monaten.</w:t>
      </w:r>
    </w:p>
    <w:p w14:paraId="64998FE2" w14:textId="77777777" w:rsidR="00790A59" w:rsidRPr="00790A59" w:rsidRDefault="00790A59" w:rsidP="00790A59">
      <w:r w:rsidRPr="00790A59">
        <w:rPr>
          <w:b/>
          <w:bCs/>
        </w:rPr>
        <w:t>Vorname Nachname:</w:t>
      </w:r>
      <w:r w:rsidRPr="00790A59">
        <w:br/>
        <w:t>Margit Matheis</w:t>
      </w:r>
    </w:p>
    <w:p w14:paraId="7231B547" w14:textId="77777777" w:rsidR="00790A59" w:rsidRPr="00790A59" w:rsidRDefault="00790A59" w:rsidP="00790A59">
      <w:r w:rsidRPr="00790A59">
        <w:rPr>
          <w:b/>
          <w:bCs/>
        </w:rPr>
        <w:t>Adresse:</w:t>
      </w:r>
      <w:r w:rsidRPr="00790A59">
        <w:br/>
        <w:t>Schloßberg 1</w:t>
      </w:r>
    </w:p>
    <w:p w14:paraId="78045F5F" w14:textId="77777777" w:rsidR="00790A59" w:rsidRPr="00790A59" w:rsidRDefault="00790A59" w:rsidP="00790A59">
      <w:r w:rsidRPr="00790A59">
        <w:rPr>
          <w:b/>
          <w:bCs/>
        </w:rPr>
        <w:t>PLZ Ort:</w:t>
      </w:r>
      <w:r w:rsidRPr="00790A59">
        <w:br/>
        <w:t>4910 Ried im Innkreis</w:t>
      </w:r>
    </w:p>
    <w:p w14:paraId="5ACBC602" w14:textId="77777777" w:rsidR="00790A59" w:rsidRPr="00790A59" w:rsidRDefault="00790A59" w:rsidP="00790A59">
      <w:r w:rsidRPr="00790A59">
        <w:rPr>
          <w:b/>
          <w:bCs/>
        </w:rPr>
        <w:t>Telefon:</w:t>
      </w:r>
      <w:r w:rsidRPr="00790A59">
        <w:br/>
        <w:t>+43 7752 602 84885 oder +43 664 88419918</w:t>
      </w:r>
    </w:p>
    <w:p w14:paraId="5678165D" w14:textId="77777777" w:rsidR="00790A59" w:rsidRPr="00790A59" w:rsidRDefault="00790A59" w:rsidP="00790A59">
      <w:r w:rsidRPr="00790A59">
        <w:rPr>
          <w:b/>
          <w:bCs/>
        </w:rPr>
        <w:t>E-Mail:</w:t>
      </w:r>
      <w:r w:rsidRPr="00790A59">
        <w:br/>
      </w:r>
      <w:hyperlink r:id="rId5" w:tgtFrame="_blank" w:history="1">
        <w:r w:rsidRPr="00790A59">
          <w:rPr>
            <w:rStyle w:val="Hyperlink"/>
          </w:rPr>
          <w:t>margit.matheis@bhs.at</w:t>
        </w:r>
      </w:hyperlink>
    </w:p>
    <w:p w14:paraId="57FECD3E" w14:textId="77777777" w:rsidR="00790A59" w:rsidRPr="00790A59" w:rsidRDefault="00790A59" w:rsidP="00790A59">
      <w:r w:rsidRPr="00790A59">
        <w:rPr>
          <w:b/>
          <w:bCs/>
        </w:rPr>
        <w:t>Name des Trägers:</w:t>
      </w:r>
      <w:r w:rsidRPr="00790A59">
        <w:br/>
        <w:t>Krankenhaus der Barmherzigen Schwestern Ried, Betriebsgesellschaft m.b.H.</w:t>
      </w:r>
      <w:r w:rsidRPr="00790A59">
        <w:br/>
        <w:t>Versorgungsbereiche entsprechend dem Schwerpunktkrankenhaus mit 429 Betten, 1800 Beschäftige</w:t>
      </w:r>
    </w:p>
    <w:p w14:paraId="465A04C7" w14:textId="77777777" w:rsidR="00EA35C0" w:rsidRDefault="00EA35C0"/>
    <w:sectPr w:rsidR="00EA35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1002"/>
    <w:multiLevelType w:val="multilevel"/>
    <w:tmpl w:val="B89A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A2051"/>
    <w:multiLevelType w:val="multilevel"/>
    <w:tmpl w:val="E60E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2F1396"/>
    <w:multiLevelType w:val="multilevel"/>
    <w:tmpl w:val="4BD0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5C6AE8"/>
    <w:multiLevelType w:val="multilevel"/>
    <w:tmpl w:val="0362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957317"/>
    <w:multiLevelType w:val="multilevel"/>
    <w:tmpl w:val="FC86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966900">
    <w:abstractNumId w:val="0"/>
  </w:num>
  <w:num w:numId="2" w16cid:durableId="1440177178">
    <w:abstractNumId w:val="2"/>
  </w:num>
  <w:num w:numId="3" w16cid:durableId="1849783840">
    <w:abstractNumId w:val="1"/>
  </w:num>
  <w:num w:numId="4" w16cid:durableId="1201355464">
    <w:abstractNumId w:val="4"/>
  </w:num>
  <w:num w:numId="5" w16cid:durableId="988098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59"/>
    <w:rsid w:val="00292B62"/>
    <w:rsid w:val="00724CEC"/>
    <w:rsid w:val="00790A59"/>
    <w:rsid w:val="00D30464"/>
    <w:rsid w:val="00EA35C0"/>
    <w:rsid w:val="00F40FE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707EB"/>
  <w15:chartTrackingRefBased/>
  <w15:docId w15:val="{259E287B-951B-412D-8761-2F82CB28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90A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90A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90A5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90A5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90A5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90A5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90A5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90A5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90A5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0A5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90A5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90A5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90A5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90A5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90A5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0A5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0A5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0A59"/>
    <w:rPr>
      <w:rFonts w:eastAsiaTheme="majorEastAsia" w:cstheme="majorBidi"/>
      <w:color w:val="272727" w:themeColor="text1" w:themeTint="D8"/>
    </w:rPr>
  </w:style>
  <w:style w:type="paragraph" w:styleId="Titel">
    <w:name w:val="Title"/>
    <w:basedOn w:val="Standard"/>
    <w:next w:val="Standard"/>
    <w:link w:val="TitelZchn"/>
    <w:uiPriority w:val="10"/>
    <w:qFormat/>
    <w:rsid w:val="00790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90A5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0A5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90A5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0A5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90A59"/>
    <w:rPr>
      <w:i/>
      <w:iCs/>
      <w:color w:val="404040" w:themeColor="text1" w:themeTint="BF"/>
    </w:rPr>
  </w:style>
  <w:style w:type="paragraph" w:styleId="Listenabsatz">
    <w:name w:val="List Paragraph"/>
    <w:basedOn w:val="Standard"/>
    <w:uiPriority w:val="34"/>
    <w:qFormat/>
    <w:rsid w:val="00790A59"/>
    <w:pPr>
      <w:ind w:left="720"/>
      <w:contextualSpacing/>
    </w:pPr>
  </w:style>
  <w:style w:type="character" w:styleId="IntensiveHervorhebung">
    <w:name w:val="Intense Emphasis"/>
    <w:basedOn w:val="Absatz-Standardschriftart"/>
    <w:uiPriority w:val="21"/>
    <w:qFormat/>
    <w:rsid w:val="00790A59"/>
    <w:rPr>
      <w:i/>
      <w:iCs/>
      <w:color w:val="2F5496" w:themeColor="accent1" w:themeShade="BF"/>
    </w:rPr>
  </w:style>
  <w:style w:type="paragraph" w:styleId="IntensivesZitat">
    <w:name w:val="Intense Quote"/>
    <w:basedOn w:val="Standard"/>
    <w:next w:val="Standard"/>
    <w:link w:val="IntensivesZitatZchn"/>
    <w:uiPriority w:val="30"/>
    <w:qFormat/>
    <w:rsid w:val="00790A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90A59"/>
    <w:rPr>
      <w:i/>
      <w:iCs/>
      <w:color w:val="2F5496" w:themeColor="accent1" w:themeShade="BF"/>
    </w:rPr>
  </w:style>
  <w:style w:type="character" w:styleId="IntensiverVerweis">
    <w:name w:val="Intense Reference"/>
    <w:basedOn w:val="Absatz-Standardschriftart"/>
    <w:uiPriority w:val="32"/>
    <w:qFormat/>
    <w:rsid w:val="00790A59"/>
    <w:rPr>
      <w:b/>
      <w:bCs/>
      <w:smallCaps/>
      <w:color w:val="2F5496" w:themeColor="accent1" w:themeShade="BF"/>
      <w:spacing w:val="5"/>
    </w:rPr>
  </w:style>
  <w:style w:type="character" w:styleId="Hyperlink">
    <w:name w:val="Hyperlink"/>
    <w:basedOn w:val="Absatz-Standardschriftart"/>
    <w:uiPriority w:val="99"/>
    <w:unhideWhenUsed/>
    <w:rsid w:val="00790A59"/>
    <w:rPr>
      <w:color w:val="0563C1" w:themeColor="hyperlink"/>
      <w:u w:val="single"/>
    </w:rPr>
  </w:style>
  <w:style w:type="character" w:styleId="NichtaufgelsteErwhnung">
    <w:name w:val="Unresolved Mention"/>
    <w:basedOn w:val="Absatz-Standardschriftart"/>
    <w:uiPriority w:val="99"/>
    <w:semiHidden/>
    <w:unhideWhenUsed/>
    <w:rsid w:val="00790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5847">
      <w:bodyDiv w:val="1"/>
      <w:marLeft w:val="0"/>
      <w:marRight w:val="0"/>
      <w:marTop w:val="0"/>
      <w:marBottom w:val="0"/>
      <w:divBdr>
        <w:top w:val="none" w:sz="0" w:space="0" w:color="auto"/>
        <w:left w:val="none" w:sz="0" w:space="0" w:color="auto"/>
        <w:bottom w:val="none" w:sz="0" w:space="0" w:color="auto"/>
        <w:right w:val="none" w:sz="0" w:space="0" w:color="auto"/>
      </w:divBdr>
    </w:div>
    <w:div w:id="65654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sa=E&amp;q=mailto%3Amargit.matheis%40bhs.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1336</Words>
  <Characters>8418</Characters>
  <Application>Microsoft Office Word</Application>
  <DocSecurity>0</DocSecurity>
  <Lines>70</Lines>
  <Paragraphs>19</Paragraphs>
  <ScaleCrop>false</ScaleCrop>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Michaela</cp:lastModifiedBy>
  <cp:revision>3</cp:revision>
  <dcterms:created xsi:type="dcterms:W3CDTF">2025-07-11T13:01:00Z</dcterms:created>
  <dcterms:modified xsi:type="dcterms:W3CDTF">2025-07-11T13:16:00Z</dcterms:modified>
</cp:coreProperties>
</file>