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C13" w14:textId="77777777" w:rsidR="00155B83" w:rsidRPr="00155B83" w:rsidRDefault="00155B83" w:rsidP="00155B83">
      <w:r w:rsidRPr="00155B83">
        <w:rPr>
          <w:b/>
          <w:bCs/>
        </w:rPr>
        <w:t>Titel der Initiative:</w:t>
      </w:r>
      <w:r w:rsidRPr="00155B83">
        <w:br/>
        <w:t>Delir-Prognose: Dem Delir einen Schritt voraus</w:t>
      </w:r>
    </w:p>
    <w:p w14:paraId="054F9A07" w14:textId="77777777" w:rsidR="00155B83" w:rsidRPr="00155B83" w:rsidRDefault="00155B83" w:rsidP="00155B83">
      <w:r w:rsidRPr="00155B83">
        <w:rPr>
          <w:b/>
          <w:bCs/>
        </w:rPr>
        <w:t>Bereich der Initiative:</w:t>
      </w:r>
      <w:r w:rsidRPr="00155B83">
        <w:br/>
        <w:t>Stationär</w:t>
      </w:r>
    </w:p>
    <w:p w14:paraId="59D4AFD8" w14:textId="77777777" w:rsidR="00155B83" w:rsidRPr="00155B83" w:rsidRDefault="00155B83" w:rsidP="00155B83">
      <w:r w:rsidRPr="00155B83">
        <w:rPr>
          <w:b/>
          <w:bCs/>
        </w:rPr>
        <w:t>Kurzbeschreibung der Initiative:</w:t>
      </w:r>
      <w:r w:rsidRPr="00155B83">
        <w:br/>
        <w:t xml:space="preserve">Beim Delir, einem akuten Verwirrtheitszustand, oftmals auch bezeichnet als Durchgangssyndrom, handelt es sich um eine häufig auftretende Komplikation während des Krankenhausaufenthaltes. Ausgelöst durch Stressfaktoren wie z.B. Infektion, Dehydrierung oder Operation ist das Risiko ein Delir zu entwickeln vor allem bei prädisponierten </w:t>
      </w:r>
      <w:proofErr w:type="spellStart"/>
      <w:proofErr w:type="gramStart"/>
      <w:r w:rsidRPr="00155B83">
        <w:t>Patient:innen</w:t>
      </w:r>
      <w:proofErr w:type="spellEnd"/>
      <w:proofErr w:type="gramEnd"/>
      <w:r w:rsidRPr="00155B83">
        <w:t xml:space="preserve"> (hohes Alter, Multimorbidität, Demenz, Suchtmittel, etc.) sehr hoch. Die Symptome werden häufig übersehen, die Auswirkungen für die </w:t>
      </w:r>
      <w:proofErr w:type="spellStart"/>
      <w:proofErr w:type="gramStart"/>
      <w:r w:rsidRPr="00155B83">
        <w:t>Patient:innen</w:t>
      </w:r>
      <w:proofErr w:type="spellEnd"/>
      <w:proofErr w:type="gramEnd"/>
      <w:r w:rsidRPr="00155B83">
        <w:t xml:space="preserve"> können jedoch schwerwiegend sein, erhöhter Pflegeaufwand und verlängerte Hospitalisierung stellen eine zusätzliche Belastung für das Krankenhauspersonal und erhöhte Krankenhauskosten dar.</w:t>
      </w:r>
    </w:p>
    <w:p w14:paraId="4F6ADF3D" w14:textId="77777777" w:rsidR="00155B83" w:rsidRPr="00155B83" w:rsidRDefault="00155B83" w:rsidP="00155B83">
      <w:r w:rsidRPr="00155B83">
        <w:t xml:space="preserve">Durch eine frühe Intervention ist das Entstehen eines Delirs jedoch verhinderbar. Voraussetzung hierfür ist das frühzeitige Erkennen eines erhöhten </w:t>
      </w:r>
      <w:proofErr w:type="spellStart"/>
      <w:r w:rsidRPr="00155B83">
        <w:t>Delirrisikos</w:t>
      </w:r>
      <w:proofErr w:type="spellEnd"/>
      <w:r w:rsidRPr="00155B83">
        <w:t>. Um dies zu unterstützen wurde im Rahmen dieses Projektes ein Prozess etabliert, der durch frühzeitiges Handeln das Entstehen eines Delirs im besten Fall verhindern soll. Ein essentieller Part des „neuen“ Prozesses war die Implementierung einer Software, die das individuelle Risiko (</w:t>
      </w:r>
      <w:proofErr w:type="spellStart"/>
      <w:r w:rsidRPr="00155B83">
        <w:t>machine-learning</w:t>
      </w:r>
      <w:proofErr w:type="spellEnd"/>
      <w:r w:rsidRPr="00155B83">
        <w:t>) berechnet und dieses als Hilfestellung (</w:t>
      </w:r>
      <w:proofErr w:type="spellStart"/>
      <w:r w:rsidRPr="00155B83">
        <w:t>Decision</w:t>
      </w:r>
      <w:proofErr w:type="spellEnd"/>
      <w:r w:rsidRPr="00155B83">
        <w:t xml:space="preserve"> Support) im Krankenhausinformationssystem (KIS) anzeigt. Dadurch wird die Aufmerksamkeit des behandelnden Personals gezielt auf die gefährdeten </w:t>
      </w:r>
      <w:proofErr w:type="spellStart"/>
      <w:proofErr w:type="gramStart"/>
      <w:r w:rsidRPr="00155B83">
        <w:t>Patient:innen</w:t>
      </w:r>
      <w:proofErr w:type="spellEnd"/>
      <w:proofErr w:type="gramEnd"/>
      <w:r w:rsidRPr="00155B83">
        <w:t xml:space="preserve"> gelenkt. In Folge dessen wird bei Notwendigkeit interdisziplinär (Medizin, Pflege, MTD, Pharmazie) eine Kaskade an Präventionsmaßnahmen ausgelöst um dieses Risiko zu reduzieren. Derzeit befindet sich das Projekt auf der Univ. Klinik für Orthopädie und Traumatologie in der Pilotphase und endet im Dezember 2025.</w:t>
      </w:r>
    </w:p>
    <w:p w14:paraId="520304F8" w14:textId="77777777" w:rsidR="00155B83" w:rsidRPr="00155B83" w:rsidRDefault="00155B83" w:rsidP="00155B83">
      <w:r w:rsidRPr="00155B83">
        <w:rPr>
          <w:b/>
          <w:bCs/>
        </w:rPr>
        <w:t>Darstellung Ausgangslage:</w:t>
      </w:r>
      <w:r w:rsidRPr="00155B83">
        <w:br/>
        <w:t>Das Delir ist eine organische Erkrankung mit primär psychiatrischer Symptomatik. Die dem Delir zugrundeliegenden organischen Ursachen die Art, Ausmaß und Verlauf der Erkrankung beeinflussen, können mittels medizinischer Routineverfahren erfasst werden. Dadurch unterscheidet sich ein Delir von anderen psychiatrischen Erkrankungen, weil die Therapie (neben der Behandlung der psychischen Symptome) vor allem auch darin besteht, die organische Ursache zu beseitigen (einen bakteriellen Infekt oder eine Exsikkose). (1)</w:t>
      </w:r>
    </w:p>
    <w:p w14:paraId="58E287D1" w14:textId="77777777" w:rsidR="00155B83" w:rsidRPr="00155B83" w:rsidRDefault="00155B83" w:rsidP="00155B83">
      <w:r w:rsidRPr="00155B83">
        <w:t xml:space="preserve">Das Ausmaß der Vorbelastung wie Demenz, psychische Vorerkrankungen wie Depression oder Substanzmissbrauch, Mangelernährung, höheres Lebensalter und somatische Komorbiditäten erhöht das Risiko ein Delir zu entwickeln. Studien berichten von Inzidenzen zum postoperativen Delir von bis zu 40 %, bis zu 80 % für </w:t>
      </w:r>
      <w:proofErr w:type="spellStart"/>
      <w:proofErr w:type="gramStart"/>
      <w:r w:rsidRPr="00155B83">
        <w:t>Patient:innen</w:t>
      </w:r>
      <w:proofErr w:type="spellEnd"/>
      <w:proofErr w:type="gramEnd"/>
      <w:r w:rsidRPr="00155B83">
        <w:t xml:space="preserve"> auf Intensivstationen. Bis zu 25 % der älteren Personen (&gt;65 Jahre) weisen zum Zeitpunkt der Krankenhausaufnahme ein Delir auf und weitere 30 % entwickeln im Verlauf der Aufnahme ein Delir. (1)</w:t>
      </w:r>
    </w:p>
    <w:p w14:paraId="05814215" w14:textId="77777777" w:rsidR="00155B83" w:rsidRPr="00155B83" w:rsidRDefault="00155B83" w:rsidP="00155B83">
      <w:r w:rsidRPr="00155B83">
        <w:t xml:space="preserve">Die zugrundeliegenden Risikofaktoren und oben genannten organischen Ursachen sind jedoch für das behandelnde bzw. pflegende Personal im voll ausgelasteten Routinebetrieb oft schwer zu überblicken. Zum Beispiel kann bei älteren, dementen </w:t>
      </w:r>
      <w:proofErr w:type="spellStart"/>
      <w:proofErr w:type="gramStart"/>
      <w:r w:rsidRPr="00155B83">
        <w:t>Patient:innen</w:t>
      </w:r>
      <w:proofErr w:type="spellEnd"/>
      <w:proofErr w:type="gramEnd"/>
      <w:r w:rsidRPr="00155B83">
        <w:t xml:space="preserve"> zur Entwicklung eines Delirs bereits ein leichter Infekt, eine Exsikkose oder Elektrolytentgleisung genügen. Bei einer gesunden, jungen Person wird jedoch angenommen, dass erst ein schwerwiegender Auslöser, zum Beispiel eine lange Operation oder Aufenthalt auf einer Intensivstation zur </w:t>
      </w:r>
      <w:proofErr w:type="spellStart"/>
      <w:r w:rsidRPr="00155B83">
        <w:t>Delirentwicklung</w:t>
      </w:r>
      <w:proofErr w:type="spellEnd"/>
      <w:r w:rsidRPr="00155B83">
        <w:t xml:space="preserve"> führt. Ebenso wie nur ein Auslöser ausreichen kann, können auch Kombinationen verschiedener Auslöser an der Entstehung eines Delirs beteiligt sein. (1)</w:t>
      </w:r>
    </w:p>
    <w:p w14:paraId="4AD0DB59" w14:textId="77777777" w:rsidR="00155B83" w:rsidRPr="00155B83" w:rsidRDefault="00155B83" w:rsidP="00155B83">
      <w:r w:rsidRPr="00155B83">
        <w:lastRenderedPageBreak/>
        <w:t xml:space="preserve">Die Diagnose Delir ist mit einer erhöhten Mortalität, Demenzinzidenz und erhöhten Pflegebedürftigkeit auch nach dem Krankenhausaufenthalt verbunden. Zusätzliche Behandlungen, ein verlängerter Krankenhausaufenthalt (bis zu 10 Tage) und eine erhöhte </w:t>
      </w:r>
      <w:proofErr w:type="spellStart"/>
      <w:r w:rsidRPr="00155B83">
        <w:t>Rehospitalisierungsrate</w:t>
      </w:r>
      <w:proofErr w:type="spellEnd"/>
      <w:r w:rsidRPr="00155B83">
        <w:t xml:space="preserve"> sind mit einer deutlichen Kostensteigerung verbunden. Aktuellen Zahlen zufolge liegt die Gesamtprävalenz für Delir in Österreich bei in etwa bei 10 %. (2) Die Dunkelziffer eines unerkannten Delirs, insbesondere des hypoaktiven Typs, ist jedoch weitaus höher. Studien zufolge werden bis zu 84 % der Delirien in Notaufnahmen nicht als solche identifiziert. (3) Um dem entgegenzuwirken, soll eine einheitlich gestaltete Vorgehensweise, bei der eine KI-unterstützte Risikoidentifizierung zum Einsatz kommt, dem behandelnden Personal eine Hilfestellung und Handlungssicherheit bieten.</w:t>
      </w:r>
      <w:r w:rsidRPr="00155B83">
        <w:br/>
      </w:r>
      <w:r w:rsidRPr="00155B83">
        <w:rPr>
          <w:i/>
          <w:iCs/>
        </w:rPr>
        <w:t xml:space="preserve">1) Spies et al. Delir – ein evidenzbasierter Überblick; Wien. </w:t>
      </w:r>
      <w:proofErr w:type="spellStart"/>
      <w:r w:rsidRPr="00155B83">
        <w:rPr>
          <w:i/>
          <w:iCs/>
        </w:rPr>
        <w:t>Klin</w:t>
      </w:r>
      <w:proofErr w:type="spellEnd"/>
      <w:r w:rsidRPr="00155B83">
        <w:rPr>
          <w:i/>
          <w:iCs/>
        </w:rPr>
        <w:t xml:space="preserve">. </w:t>
      </w:r>
      <w:proofErr w:type="spellStart"/>
      <w:r w:rsidRPr="00155B83">
        <w:rPr>
          <w:i/>
          <w:iCs/>
        </w:rPr>
        <w:t>Wochenschr</w:t>
      </w:r>
      <w:proofErr w:type="spellEnd"/>
      <w:r w:rsidRPr="00155B83">
        <w:rPr>
          <w:i/>
          <w:iCs/>
        </w:rPr>
        <w:t xml:space="preserve">. </w:t>
      </w:r>
      <w:proofErr w:type="spellStart"/>
      <w:r w:rsidRPr="00155B83">
        <w:rPr>
          <w:i/>
          <w:iCs/>
        </w:rPr>
        <w:t>Educ</w:t>
      </w:r>
      <w:proofErr w:type="spellEnd"/>
      <w:r w:rsidRPr="00155B83">
        <w:rPr>
          <w:i/>
          <w:iCs/>
        </w:rPr>
        <w:t xml:space="preserve"> 2019 14:1–17.</w:t>
      </w:r>
      <w:r w:rsidRPr="00155B83">
        <w:br/>
      </w:r>
      <w:r w:rsidRPr="00155B83">
        <w:rPr>
          <w:i/>
          <w:iCs/>
        </w:rPr>
        <w:t xml:space="preserve">2) </w:t>
      </w:r>
      <w:proofErr w:type="spellStart"/>
      <w:r w:rsidRPr="00155B83">
        <w:rPr>
          <w:i/>
          <w:iCs/>
        </w:rPr>
        <w:t>Schimböck</w:t>
      </w:r>
      <w:proofErr w:type="spellEnd"/>
      <w:r w:rsidRPr="00155B83">
        <w:rPr>
          <w:i/>
          <w:iCs/>
        </w:rPr>
        <w:t xml:space="preserve"> et al. Delirium </w:t>
      </w:r>
      <w:proofErr w:type="spellStart"/>
      <w:r w:rsidRPr="00155B83">
        <w:rPr>
          <w:i/>
          <w:iCs/>
        </w:rPr>
        <w:t>prevalence</w:t>
      </w:r>
      <w:proofErr w:type="spellEnd"/>
      <w:r w:rsidRPr="00155B83">
        <w:rPr>
          <w:i/>
          <w:iCs/>
        </w:rPr>
        <w:t xml:space="preserve"> and </w:t>
      </w:r>
      <w:proofErr w:type="spellStart"/>
      <w:r w:rsidRPr="00155B83">
        <w:rPr>
          <w:i/>
          <w:iCs/>
        </w:rPr>
        <w:t>management</w:t>
      </w:r>
      <w:proofErr w:type="spellEnd"/>
      <w:r w:rsidRPr="00155B83">
        <w:rPr>
          <w:i/>
          <w:iCs/>
        </w:rPr>
        <w:t xml:space="preserve"> in </w:t>
      </w:r>
      <w:proofErr w:type="spellStart"/>
      <w:r w:rsidRPr="00155B83">
        <w:rPr>
          <w:i/>
          <w:iCs/>
        </w:rPr>
        <w:t>general</w:t>
      </w:r>
      <w:proofErr w:type="spellEnd"/>
      <w:r w:rsidRPr="00155B83">
        <w:rPr>
          <w:i/>
          <w:iCs/>
        </w:rPr>
        <w:t xml:space="preserve"> wards, </w:t>
      </w:r>
      <w:proofErr w:type="spellStart"/>
      <w:r w:rsidRPr="00155B83">
        <w:rPr>
          <w:i/>
          <w:iCs/>
        </w:rPr>
        <w:t>emergency</w:t>
      </w:r>
      <w:proofErr w:type="spellEnd"/>
      <w:r w:rsidRPr="00155B83">
        <w:rPr>
          <w:i/>
          <w:iCs/>
        </w:rPr>
        <w:t xml:space="preserve"> </w:t>
      </w:r>
      <w:proofErr w:type="spellStart"/>
      <w:r w:rsidRPr="00155B83">
        <w:rPr>
          <w:i/>
          <w:iCs/>
        </w:rPr>
        <w:t>departments</w:t>
      </w:r>
      <w:proofErr w:type="spellEnd"/>
      <w:r w:rsidRPr="00155B83">
        <w:rPr>
          <w:i/>
          <w:iCs/>
        </w:rPr>
        <w:t xml:space="preserve">, </w:t>
      </w:r>
      <w:proofErr w:type="spellStart"/>
      <w:r w:rsidRPr="00155B83">
        <w:rPr>
          <w:i/>
          <w:iCs/>
        </w:rPr>
        <w:t>rehabilitation</w:t>
      </w:r>
      <w:proofErr w:type="spellEnd"/>
      <w:r w:rsidRPr="00155B83">
        <w:rPr>
          <w:i/>
          <w:iCs/>
        </w:rPr>
        <w:t xml:space="preserve"> </w:t>
      </w:r>
      <w:proofErr w:type="spellStart"/>
      <w:r w:rsidRPr="00155B83">
        <w:rPr>
          <w:i/>
          <w:iCs/>
        </w:rPr>
        <w:t>centres</w:t>
      </w:r>
      <w:proofErr w:type="spellEnd"/>
      <w:r w:rsidRPr="00155B83">
        <w:rPr>
          <w:i/>
          <w:iCs/>
        </w:rPr>
        <w:t xml:space="preserve"> and </w:t>
      </w:r>
      <w:proofErr w:type="spellStart"/>
      <w:r w:rsidRPr="00155B83">
        <w:rPr>
          <w:i/>
          <w:iCs/>
        </w:rPr>
        <w:t>nursing</w:t>
      </w:r>
      <w:proofErr w:type="spellEnd"/>
      <w:r w:rsidRPr="00155B83">
        <w:rPr>
          <w:i/>
          <w:iCs/>
        </w:rPr>
        <w:t xml:space="preserve"> </w:t>
      </w:r>
      <w:proofErr w:type="spellStart"/>
      <w:r w:rsidRPr="00155B83">
        <w:rPr>
          <w:i/>
          <w:iCs/>
        </w:rPr>
        <w:t>homes</w:t>
      </w:r>
      <w:proofErr w:type="spellEnd"/>
      <w:r w:rsidRPr="00155B83">
        <w:rPr>
          <w:i/>
          <w:iCs/>
        </w:rPr>
        <w:t xml:space="preserve"> in Germany, Austria and </w:t>
      </w:r>
      <w:proofErr w:type="spellStart"/>
      <w:r w:rsidRPr="00155B83">
        <w:rPr>
          <w:i/>
          <w:iCs/>
        </w:rPr>
        <w:t>Switzerland</w:t>
      </w:r>
      <w:proofErr w:type="spellEnd"/>
      <w:r w:rsidRPr="00155B83">
        <w:rPr>
          <w:i/>
          <w:iCs/>
        </w:rPr>
        <w:t xml:space="preserve"> (DACH countries): A </w:t>
      </w:r>
      <w:proofErr w:type="spellStart"/>
      <w:r w:rsidRPr="00155B83">
        <w:rPr>
          <w:i/>
          <w:iCs/>
        </w:rPr>
        <w:t>secondary</w:t>
      </w:r>
      <w:proofErr w:type="spellEnd"/>
      <w:r w:rsidRPr="00155B83">
        <w:rPr>
          <w:i/>
          <w:iCs/>
        </w:rPr>
        <w:t xml:space="preserve"> </w:t>
      </w:r>
      <w:proofErr w:type="spellStart"/>
      <w:r w:rsidRPr="00155B83">
        <w:rPr>
          <w:i/>
          <w:iCs/>
        </w:rPr>
        <w:t>analysis</w:t>
      </w:r>
      <w:proofErr w:type="spellEnd"/>
      <w:r w:rsidRPr="00155B83">
        <w:rPr>
          <w:i/>
          <w:iCs/>
        </w:rPr>
        <w:t xml:space="preserve"> </w:t>
      </w:r>
      <w:proofErr w:type="spellStart"/>
      <w:r w:rsidRPr="00155B83">
        <w:rPr>
          <w:i/>
          <w:iCs/>
        </w:rPr>
        <w:t>of</w:t>
      </w:r>
      <w:proofErr w:type="spellEnd"/>
      <w:r w:rsidRPr="00155B83">
        <w:rPr>
          <w:i/>
          <w:iCs/>
        </w:rPr>
        <w:t xml:space="preserve"> a </w:t>
      </w:r>
      <w:proofErr w:type="spellStart"/>
      <w:r w:rsidRPr="00155B83">
        <w:rPr>
          <w:i/>
          <w:iCs/>
        </w:rPr>
        <w:t>worldwide</w:t>
      </w:r>
      <w:proofErr w:type="spellEnd"/>
      <w:r w:rsidRPr="00155B83">
        <w:rPr>
          <w:i/>
          <w:iCs/>
        </w:rPr>
        <w:t xml:space="preserve"> </w:t>
      </w:r>
      <w:proofErr w:type="spellStart"/>
      <w:r w:rsidRPr="00155B83">
        <w:rPr>
          <w:i/>
          <w:iCs/>
        </w:rPr>
        <w:t>point</w:t>
      </w:r>
      <w:proofErr w:type="spellEnd"/>
      <w:r w:rsidRPr="00155B83">
        <w:rPr>
          <w:i/>
          <w:iCs/>
        </w:rPr>
        <w:t xml:space="preserve"> </w:t>
      </w:r>
      <w:proofErr w:type="spellStart"/>
      <w:r w:rsidRPr="00155B83">
        <w:rPr>
          <w:i/>
          <w:iCs/>
        </w:rPr>
        <w:t>prevalence</w:t>
      </w:r>
      <w:proofErr w:type="spellEnd"/>
      <w:r w:rsidRPr="00155B83">
        <w:rPr>
          <w:i/>
          <w:iCs/>
        </w:rPr>
        <w:t xml:space="preserve"> </w:t>
      </w:r>
      <w:proofErr w:type="spellStart"/>
      <w:r w:rsidRPr="00155B83">
        <w:rPr>
          <w:i/>
          <w:iCs/>
        </w:rPr>
        <w:t>study</w:t>
      </w:r>
      <w:proofErr w:type="spellEnd"/>
      <w:r w:rsidRPr="00155B83">
        <w:rPr>
          <w:i/>
          <w:iCs/>
        </w:rPr>
        <w:t xml:space="preserve">; International Journal </w:t>
      </w:r>
      <w:proofErr w:type="spellStart"/>
      <w:r w:rsidRPr="00155B83">
        <w:rPr>
          <w:i/>
          <w:iCs/>
        </w:rPr>
        <w:t>of</w:t>
      </w:r>
      <w:proofErr w:type="spellEnd"/>
      <w:r w:rsidRPr="00155B83">
        <w:rPr>
          <w:i/>
          <w:iCs/>
        </w:rPr>
        <w:t xml:space="preserve"> Nursing Studies </w:t>
      </w:r>
      <w:proofErr w:type="spellStart"/>
      <w:r w:rsidRPr="00155B83">
        <w:rPr>
          <w:i/>
          <w:iCs/>
        </w:rPr>
        <w:t>Advances</w:t>
      </w:r>
      <w:proofErr w:type="spellEnd"/>
      <w:r w:rsidRPr="00155B83">
        <w:rPr>
          <w:i/>
          <w:iCs/>
        </w:rPr>
        <w:t>; Volume 8, June 2025, 100309.</w:t>
      </w:r>
      <w:r w:rsidRPr="00155B83">
        <w:br/>
      </w:r>
      <w:r w:rsidRPr="00155B83">
        <w:rPr>
          <w:i/>
          <w:iCs/>
        </w:rPr>
        <w:t xml:space="preserve">3) McCabe et al. </w:t>
      </w:r>
      <w:proofErr w:type="spellStart"/>
      <w:r w:rsidRPr="00155B83">
        <w:rPr>
          <w:i/>
          <w:iCs/>
        </w:rPr>
        <w:t>Acute</w:t>
      </w:r>
      <w:proofErr w:type="spellEnd"/>
      <w:r w:rsidRPr="00155B83">
        <w:rPr>
          <w:i/>
          <w:iCs/>
        </w:rPr>
        <w:t xml:space="preserve"> care </w:t>
      </w:r>
      <w:proofErr w:type="spellStart"/>
      <w:r w:rsidRPr="00155B83">
        <w:rPr>
          <w:i/>
          <w:iCs/>
        </w:rPr>
        <w:t>of</w:t>
      </w:r>
      <w:proofErr w:type="spellEnd"/>
      <w:r w:rsidRPr="00155B83">
        <w:rPr>
          <w:i/>
          <w:iCs/>
        </w:rPr>
        <w:t xml:space="preserve"> </w:t>
      </w:r>
      <w:proofErr w:type="spellStart"/>
      <w:r w:rsidRPr="00155B83">
        <w:rPr>
          <w:i/>
          <w:iCs/>
        </w:rPr>
        <w:t>older</w:t>
      </w:r>
      <w:proofErr w:type="spellEnd"/>
      <w:r w:rsidRPr="00155B83">
        <w:rPr>
          <w:i/>
          <w:iCs/>
        </w:rPr>
        <w:t xml:space="preserve"> </w:t>
      </w:r>
      <w:proofErr w:type="spellStart"/>
      <w:r w:rsidRPr="00155B83">
        <w:rPr>
          <w:i/>
          <w:iCs/>
        </w:rPr>
        <w:t>patients</w:t>
      </w:r>
      <w:proofErr w:type="spellEnd"/>
      <w:r w:rsidRPr="00155B83">
        <w:rPr>
          <w:i/>
          <w:iCs/>
        </w:rPr>
        <w:t xml:space="preserve"> in </w:t>
      </w:r>
      <w:proofErr w:type="spellStart"/>
      <w:r w:rsidRPr="00155B83">
        <w:rPr>
          <w:i/>
          <w:iCs/>
        </w:rPr>
        <w:t>the</w:t>
      </w:r>
      <w:proofErr w:type="spellEnd"/>
      <w:r w:rsidRPr="00155B83">
        <w:rPr>
          <w:i/>
          <w:iCs/>
        </w:rPr>
        <w:t xml:space="preserve"> </w:t>
      </w:r>
      <w:proofErr w:type="spellStart"/>
      <w:r w:rsidRPr="00155B83">
        <w:rPr>
          <w:i/>
          <w:iCs/>
        </w:rPr>
        <w:t>emergency</w:t>
      </w:r>
      <w:proofErr w:type="spellEnd"/>
      <w:r w:rsidRPr="00155B83">
        <w:rPr>
          <w:i/>
          <w:iCs/>
        </w:rPr>
        <w:t xml:space="preserve"> </w:t>
      </w:r>
      <w:proofErr w:type="spellStart"/>
      <w:r w:rsidRPr="00155B83">
        <w:rPr>
          <w:i/>
          <w:iCs/>
        </w:rPr>
        <w:t>department</w:t>
      </w:r>
      <w:proofErr w:type="spellEnd"/>
      <w:r w:rsidRPr="00155B83">
        <w:rPr>
          <w:i/>
          <w:iCs/>
        </w:rPr>
        <w:t xml:space="preserve">: </w:t>
      </w:r>
      <w:proofErr w:type="spellStart"/>
      <w:r w:rsidRPr="00155B83">
        <w:rPr>
          <w:i/>
          <w:iCs/>
        </w:rPr>
        <w:t>strategies</w:t>
      </w:r>
      <w:proofErr w:type="spellEnd"/>
      <w:r w:rsidRPr="00155B83">
        <w:rPr>
          <w:i/>
          <w:iCs/>
        </w:rPr>
        <w:t xml:space="preserve"> </w:t>
      </w:r>
      <w:proofErr w:type="spellStart"/>
      <w:r w:rsidRPr="00155B83">
        <w:rPr>
          <w:i/>
          <w:iCs/>
        </w:rPr>
        <w:t>to</w:t>
      </w:r>
      <w:proofErr w:type="spellEnd"/>
      <w:r w:rsidRPr="00155B83">
        <w:rPr>
          <w:i/>
          <w:iCs/>
        </w:rPr>
        <w:t xml:space="preserve"> </w:t>
      </w:r>
      <w:proofErr w:type="spellStart"/>
      <w:r w:rsidRPr="00155B83">
        <w:rPr>
          <w:i/>
          <w:iCs/>
        </w:rPr>
        <w:t>improve</w:t>
      </w:r>
      <w:proofErr w:type="spellEnd"/>
      <w:r w:rsidRPr="00155B83">
        <w:rPr>
          <w:i/>
          <w:iCs/>
        </w:rPr>
        <w:t xml:space="preserve"> </w:t>
      </w:r>
      <w:proofErr w:type="spellStart"/>
      <w:r w:rsidRPr="00155B83">
        <w:rPr>
          <w:i/>
          <w:iCs/>
        </w:rPr>
        <w:t>patient</w:t>
      </w:r>
      <w:proofErr w:type="spellEnd"/>
      <w:r w:rsidRPr="00155B83">
        <w:rPr>
          <w:i/>
          <w:iCs/>
        </w:rPr>
        <w:t xml:space="preserve"> </w:t>
      </w:r>
      <w:proofErr w:type="spellStart"/>
      <w:r w:rsidRPr="00155B83">
        <w:rPr>
          <w:i/>
          <w:iCs/>
        </w:rPr>
        <w:t>outcomes</w:t>
      </w:r>
      <w:proofErr w:type="spellEnd"/>
      <w:r w:rsidRPr="00155B83">
        <w:rPr>
          <w:i/>
          <w:iCs/>
        </w:rPr>
        <w:t xml:space="preserve">; Dove Press </w:t>
      </w:r>
      <w:proofErr w:type="spellStart"/>
      <w:r w:rsidRPr="00155B83">
        <w:rPr>
          <w:i/>
          <w:iCs/>
        </w:rPr>
        <w:t>journal</w:t>
      </w:r>
      <w:proofErr w:type="spellEnd"/>
      <w:r w:rsidRPr="00155B83">
        <w:rPr>
          <w:i/>
          <w:iCs/>
        </w:rPr>
        <w:t>: Open Access Emergency Medicine 2015:7 45–54.</w:t>
      </w:r>
    </w:p>
    <w:p w14:paraId="497BB641" w14:textId="77777777" w:rsidR="00155B83" w:rsidRPr="00155B83" w:rsidRDefault="00155B83" w:rsidP="00155B83">
      <w:r w:rsidRPr="00155B83">
        <w:rPr>
          <w:b/>
          <w:bCs/>
        </w:rPr>
        <w:t>Konkrete Beschreibung:</w:t>
      </w:r>
      <w:r w:rsidRPr="00155B83">
        <w:br/>
        <w:t xml:space="preserve">Um Präventionsmaßnahmen möglichst früh ergreifen zu können ist es wichtig, das individuelle Risiko für die </w:t>
      </w:r>
      <w:proofErr w:type="spellStart"/>
      <w:proofErr w:type="gramStart"/>
      <w:r w:rsidRPr="00155B83">
        <w:t>Patient:innen</w:t>
      </w:r>
      <w:proofErr w:type="spellEnd"/>
      <w:proofErr w:type="gramEnd"/>
      <w:r w:rsidRPr="00155B83">
        <w:t xml:space="preserve"> zu kennen. Aus diesem Grund wurde eine Software implementiert, (</w:t>
      </w:r>
      <w:proofErr w:type="spellStart"/>
      <w:r w:rsidRPr="00155B83">
        <w:t>Personalised</w:t>
      </w:r>
      <w:proofErr w:type="spellEnd"/>
      <w:r w:rsidRPr="00155B83">
        <w:t xml:space="preserve"> Risk Tool – ein Produkt der </w:t>
      </w:r>
      <w:proofErr w:type="spellStart"/>
      <w:r w:rsidRPr="00155B83">
        <w:t>KAGes</w:t>
      </w:r>
      <w:proofErr w:type="spellEnd"/>
      <w:r w:rsidRPr="00155B83">
        <w:t xml:space="preserve"> und </w:t>
      </w:r>
      <w:proofErr w:type="spellStart"/>
      <w:r w:rsidRPr="00155B83">
        <w:t>Predicting</w:t>
      </w:r>
      <w:proofErr w:type="spellEnd"/>
      <w:r w:rsidRPr="00155B83">
        <w:t xml:space="preserve"> Health GmbH) die auf Basis der im Krankenhausinformationssystem (KIS) vorhandenen Daten (Alter, Krankengeschichte, Medikamente, Diagnosen, Laborwerte etc.) für stationäre </w:t>
      </w:r>
      <w:proofErr w:type="spellStart"/>
      <w:proofErr w:type="gramStart"/>
      <w:r w:rsidRPr="00155B83">
        <w:t>Patient:innen</w:t>
      </w:r>
      <w:proofErr w:type="spellEnd"/>
      <w:proofErr w:type="gramEnd"/>
      <w:r w:rsidRPr="00155B83">
        <w:t xml:space="preserve"> eine Prognose erstellt, ein Delir zu entwickeln.</w:t>
      </w:r>
    </w:p>
    <w:p w14:paraId="2A0BBC0C" w14:textId="77777777" w:rsidR="00155B83" w:rsidRPr="00155B83" w:rsidRDefault="00155B83" w:rsidP="00155B83">
      <w:r w:rsidRPr="00155B83">
        <w:t xml:space="preserve">Das erhöhte </w:t>
      </w:r>
      <w:proofErr w:type="spellStart"/>
      <w:r w:rsidRPr="00155B83">
        <w:t>Delirrisiko</w:t>
      </w:r>
      <w:proofErr w:type="spellEnd"/>
      <w:r w:rsidRPr="00155B83">
        <w:t xml:space="preserve"> ist im Zuge der ärztlichen Visite vom Arzt oder der Ärztin zu überprüfen und zu vidieren. Durch das Anklicken des Risikosymbols öffnet sich das „Personal Risk Tool“. In diesem werden jene Daten angezeigt, welche die Einschätzung des Tools begründen. Über den „</w:t>
      </w:r>
      <w:proofErr w:type="spellStart"/>
      <w:r w:rsidRPr="00155B83">
        <w:t>Vidierungsbutton</w:t>
      </w:r>
      <w:proofErr w:type="spellEnd"/>
      <w:r w:rsidRPr="00155B83">
        <w:t>“ kann das eingeschätzte Risiko durch den Arzt bzw. die Ärztin bestätigt oder abgelehnt werden. Dieses individuelle Risiko wird im KIS angezeigt und ist für alle Berufsgruppen als Symbol sichtbar.</w:t>
      </w:r>
    </w:p>
    <w:p w14:paraId="1F39E96F" w14:textId="77777777" w:rsidR="00155B83" w:rsidRPr="00155B83" w:rsidRDefault="00155B83" w:rsidP="00155B83">
      <w:r w:rsidRPr="00155B83">
        <w:t xml:space="preserve">Dies ermöglicht nicht nur den </w:t>
      </w:r>
      <w:proofErr w:type="spellStart"/>
      <w:proofErr w:type="gramStart"/>
      <w:r w:rsidRPr="00155B83">
        <w:t>Ärzt:innen</w:t>
      </w:r>
      <w:proofErr w:type="spellEnd"/>
      <w:proofErr w:type="gramEnd"/>
      <w:r w:rsidRPr="00155B83">
        <w:t xml:space="preserve"> und der Pflege vor Ort, sondern auch anderen Berufsgruppen (Pharmazie, Ergotherapie, Logopädie und Ernährungsmedizinischer Dienst) diese </w:t>
      </w:r>
      <w:proofErr w:type="spellStart"/>
      <w:proofErr w:type="gramStart"/>
      <w:r w:rsidRPr="00155B83">
        <w:t>Patient:innen</w:t>
      </w:r>
      <w:proofErr w:type="spellEnd"/>
      <w:proofErr w:type="gramEnd"/>
      <w:r w:rsidRPr="00155B83">
        <w:t xml:space="preserve"> früh zu erkennen und bei Bedarf Präventivmaßnahmen zu setzen.</w:t>
      </w:r>
    </w:p>
    <w:p w14:paraId="0BBD0F55" w14:textId="77777777" w:rsidR="00155B83" w:rsidRPr="00155B83" w:rsidRDefault="00155B83" w:rsidP="00155B83">
      <w:pPr>
        <w:numPr>
          <w:ilvl w:val="0"/>
          <w:numId w:val="1"/>
        </w:numPr>
      </w:pPr>
      <w:r w:rsidRPr="00155B83">
        <w:t xml:space="preserve">Ein </w:t>
      </w:r>
      <w:r w:rsidRPr="00155B83">
        <w:rPr>
          <w:b/>
          <w:bCs/>
        </w:rPr>
        <w:t xml:space="preserve">pharmazeutisches </w:t>
      </w:r>
      <w:proofErr w:type="spellStart"/>
      <w:r w:rsidRPr="00155B83">
        <w:rPr>
          <w:b/>
          <w:bCs/>
        </w:rPr>
        <w:t>Konsil</w:t>
      </w:r>
      <w:proofErr w:type="spellEnd"/>
      <w:r w:rsidRPr="00155B83">
        <w:t xml:space="preserve"> weist auf </w:t>
      </w:r>
      <w:proofErr w:type="spellStart"/>
      <w:r w:rsidRPr="00155B83">
        <w:t>delirogene</w:t>
      </w:r>
      <w:proofErr w:type="spellEnd"/>
      <w:r w:rsidRPr="00155B83">
        <w:t xml:space="preserve"> Medikation hin und gibt Optimierungsvorschläge:</w:t>
      </w:r>
    </w:p>
    <w:p w14:paraId="6F01F8B5" w14:textId="77777777" w:rsidR="00155B83" w:rsidRPr="00155B83" w:rsidRDefault="00155B83" w:rsidP="00155B83">
      <w:pPr>
        <w:numPr>
          <w:ilvl w:val="1"/>
          <w:numId w:val="1"/>
        </w:numPr>
      </w:pPr>
      <w:r w:rsidRPr="00155B83">
        <w:t xml:space="preserve">Umstellen von Medikamenten mit </w:t>
      </w:r>
      <w:proofErr w:type="spellStart"/>
      <w:r w:rsidRPr="00155B83">
        <w:t>delirauslösendem</w:t>
      </w:r>
      <w:proofErr w:type="spellEnd"/>
      <w:r w:rsidRPr="00155B83">
        <w:t xml:space="preserve"> Potential, Auslöser für Elektrolytverschiebungen oder metabolische Entgleisungen, sturzrisiko-erhöhende Medikamente (FRIDs)</w:t>
      </w:r>
    </w:p>
    <w:p w14:paraId="39AF26E0" w14:textId="77777777" w:rsidR="00155B83" w:rsidRPr="00155B83" w:rsidRDefault="00155B83" w:rsidP="00155B83">
      <w:pPr>
        <w:numPr>
          <w:ilvl w:val="1"/>
          <w:numId w:val="1"/>
        </w:numPr>
      </w:pPr>
      <w:r w:rsidRPr="00155B83">
        <w:t>Vorschläge für Dosisanpassungen (z.B. bei reduzierter Nieren-/Leberfunktion)</w:t>
      </w:r>
    </w:p>
    <w:p w14:paraId="0F73213E" w14:textId="77777777" w:rsidR="00155B83" w:rsidRPr="00155B83" w:rsidRDefault="00155B83" w:rsidP="00155B83">
      <w:pPr>
        <w:numPr>
          <w:ilvl w:val="1"/>
          <w:numId w:val="1"/>
        </w:numPr>
      </w:pPr>
      <w:r w:rsidRPr="00155B83">
        <w:t>Vorschläge für Optimierung der Schmerzmedikation</w:t>
      </w:r>
    </w:p>
    <w:p w14:paraId="4ECEEE09" w14:textId="77777777" w:rsidR="00155B83" w:rsidRPr="00155B83" w:rsidRDefault="00155B83" w:rsidP="00155B83">
      <w:pPr>
        <w:numPr>
          <w:ilvl w:val="1"/>
          <w:numId w:val="1"/>
        </w:numPr>
      </w:pPr>
      <w:r w:rsidRPr="00155B83">
        <w:t>Aufzeigen von Doppelverschreibungen</w:t>
      </w:r>
    </w:p>
    <w:p w14:paraId="738EB70B" w14:textId="77777777" w:rsidR="00155B83" w:rsidRPr="00155B83" w:rsidRDefault="00155B83" w:rsidP="00155B83">
      <w:pPr>
        <w:numPr>
          <w:ilvl w:val="1"/>
          <w:numId w:val="1"/>
        </w:numPr>
      </w:pPr>
      <w:r w:rsidRPr="00155B83">
        <w:t>Interaktionscheck bei Polypharmazie</w:t>
      </w:r>
    </w:p>
    <w:p w14:paraId="451110CA" w14:textId="77777777" w:rsidR="00155B83" w:rsidRPr="00155B83" w:rsidRDefault="00155B83" w:rsidP="00155B83">
      <w:pPr>
        <w:numPr>
          <w:ilvl w:val="1"/>
          <w:numId w:val="1"/>
        </w:numPr>
      </w:pPr>
      <w:r w:rsidRPr="00155B83">
        <w:t>Optimierung von Verabreichungsregimen (morgendliche/abendliche Gabe)</w:t>
      </w:r>
    </w:p>
    <w:p w14:paraId="3ABDEF86" w14:textId="77777777" w:rsidR="00155B83" w:rsidRPr="00155B83" w:rsidRDefault="00155B83" w:rsidP="00155B83">
      <w:pPr>
        <w:numPr>
          <w:ilvl w:val="0"/>
          <w:numId w:val="1"/>
        </w:numPr>
      </w:pPr>
      <w:r w:rsidRPr="00155B83">
        <w:rPr>
          <w:b/>
          <w:bCs/>
        </w:rPr>
        <w:lastRenderedPageBreak/>
        <w:t>MTD (Ergotherapie, Logopädie und Ernährungsmedizinischer Dienst)</w:t>
      </w:r>
      <w:r w:rsidRPr="00155B83">
        <w:t xml:space="preserve"> entscheiden über nicht-medikamentöse Maßnahmen:</w:t>
      </w:r>
    </w:p>
    <w:p w14:paraId="239AAEDD" w14:textId="77777777" w:rsidR="00155B83" w:rsidRPr="00155B83" w:rsidRDefault="00155B83" w:rsidP="00155B83">
      <w:pPr>
        <w:numPr>
          <w:ilvl w:val="1"/>
          <w:numId w:val="1"/>
        </w:numPr>
      </w:pPr>
      <w:r w:rsidRPr="00155B83">
        <w:rPr>
          <w:b/>
          <w:bCs/>
        </w:rPr>
        <w:t>Präoperativ:</w:t>
      </w:r>
      <w:r w:rsidRPr="00155B83">
        <w:t xml:space="preserve"> Abklärung Mangelernährung, Überprüfung der Schluckfähigkeit, Aufklärung und Erlernen des Umgangs mit Hilfsmitteln.</w:t>
      </w:r>
    </w:p>
    <w:p w14:paraId="00331D32" w14:textId="77777777" w:rsidR="00155B83" w:rsidRPr="00155B83" w:rsidRDefault="00155B83" w:rsidP="00155B83">
      <w:pPr>
        <w:numPr>
          <w:ilvl w:val="1"/>
          <w:numId w:val="1"/>
        </w:numPr>
      </w:pPr>
      <w:r w:rsidRPr="00155B83">
        <w:rPr>
          <w:b/>
          <w:bCs/>
        </w:rPr>
        <w:t>Postoperativ:</w:t>
      </w:r>
      <w:r w:rsidRPr="00155B83">
        <w:t xml:space="preserve"> Unterstützen frühzeitiger Nahrungsaufnahme, 2x täglich körperliche Aktivierung, Förderung der Autonomie und kognitives Training.</w:t>
      </w:r>
    </w:p>
    <w:p w14:paraId="43F3B086" w14:textId="77777777" w:rsidR="00155B83" w:rsidRPr="00155B83" w:rsidRDefault="00155B83" w:rsidP="00155B83">
      <w:pPr>
        <w:numPr>
          <w:ilvl w:val="0"/>
          <w:numId w:val="1"/>
        </w:numPr>
      </w:pPr>
      <w:r w:rsidRPr="00155B83">
        <w:rPr>
          <w:b/>
          <w:bCs/>
        </w:rPr>
        <w:t>Pflegerische Maßnahmen:</w:t>
      </w:r>
      <w:r w:rsidRPr="00155B83">
        <w:t xml:space="preserve"> ELI-Box, </w:t>
      </w:r>
      <w:proofErr w:type="spellStart"/>
      <w:r w:rsidRPr="00155B83">
        <w:t>Biographiebogen</w:t>
      </w:r>
      <w:proofErr w:type="spellEnd"/>
      <w:r w:rsidRPr="00155B83">
        <w:t>, Überprüfung der Nüchternheit, Fördern der Trinkmenge und aufrechter Haltung, Unterstützung des Tag- &amp; Nachtrhythmus, Information der Angehörigen.</w:t>
      </w:r>
    </w:p>
    <w:p w14:paraId="76C7E8B5" w14:textId="77777777" w:rsidR="00155B83" w:rsidRPr="00155B83" w:rsidRDefault="00155B83" w:rsidP="00155B83">
      <w:r w:rsidRPr="00155B83">
        <w:t xml:space="preserve">Die </w:t>
      </w:r>
      <w:proofErr w:type="spellStart"/>
      <w:proofErr w:type="gramStart"/>
      <w:r w:rsidRPr="00155B83">
        <w:t>Patient:innen</w:t>
      </w:r>
      <w:proofErr w:type="spellEnd"/>
      <w:proofErr w:type="gramEnd"/>
      <w:r w:rsidRPr="00155B83">
        <w:t xml:space="preserve"> werden durch regelmäßiges Screening (4AT-Test, Schmerz, Mangelernährung, Obstipation) überwacht.</w:t>
      </w:r>
    </w:p>
    <w:p w14:paraId="6E3762C9" w14:textId="77777777" w:rsidR="00155B83" w:rsidRPr="00155B83" w:rsidRDefault="00155B83" w:rsidP="00155B83">
      <w:r w:rsidRPr="00155B83">
        <w:rPr>
          <w:b/>
          <w:bCs/>
        </w:rPr>
        <w:t>Klinische Relevanz:</w:t>
      </w:r>
      <w:r w:rsidRPr="00155B83">
        <w:br/>
        <w:t xml:space="preserve">Die Diagnose Delir ist mit einer erhöhten Mortalität, Demenzinzidenz und erhöhten Pflegebedürftigkeit auch nach dem Krankenhausaufenthalt verbunden. Zusätzliche Behandlungen, ein verlängerter Krankenhausaufenthalt (bis zu 10 Tage) und eine erhöhte </w:t>
      </w:r>
      <w:proofErr w:type="spellStart"/>
      <w:r w:rsidRPr="00155B83">
        <w:t>Rehospitalisierungsrate</w:t>
      </w:r>
      <w:proofErr w:type="spellEnd"/>
      <w:r w:rsidRPr="00155B83">
        <w:t xml:space="preserve"> sind mit einer deutlichen Kostensteigerung verbunden. Das Verhindern der Entstehung von Delir ist somit von unschätzbarem Wert.</w:t>
      </w:r>
    </w:p>
    <w:p w14:paraId="5DD59CBF" w14:textId="77777777" w:rsidR="00155B83" w:rsidRPr="00155B83" w:rsidRDefault="00155B83" w:rsidP="00155B83">
      <w:r w:rsidRPr="00155B83">
        <w:t xml:space="preserve">Die Prävention und Therapie von Delir </w:t>
      </w:r>
      <w:proofErr w:type="gramStart"/>
      <w:r w:rsidRPr="00155B83">
        <w:t>erfolgt</w:t>
      </w:r>
      <w:proofErr w:type="gramEnd"/>
      <w:r w:rsidRPr="00155B83">
        <w:t xml:space="preserve"> primär im nichtmedikamentösen, multidimensionalen Ansatz. Eine Metaanalyse zeigt, dass diese Maßnahmen die </w:t>
      </w:r>
      <w:proofErr w:type="spellStart"/>
      <w:r w:rsidRPr="00155B83">
        <w:rPr>
          <w:b/>
          <w:bCs/>
        </w:rPr>
        <w:t>Delirinzidenz</w:t>
      </w:r>
      <w:proofErr w:type="spellEnd"/>
      <w:r w:rsidRPr="00155B83">
        <w:rPr>
          <w:b/>
          <w:bCs/>
        </w:rPr>
        <w:t xml:space="preserve"> um 44 % senken</w:t>
      </w:r>
      <w:r w:rsidRPr="00155B83">
        <w:t>. (4)</w:t>
      </w:r>
    </w:p>
    <w:p w14:paraId="66EB4298" w14:textId="77777777" w:rsidR="00155B83" w:rsidRPr="00155B83" w:rsidRDefault="00155B83" w:rsidP="00155B83">
      <w:r w:rsidRPr="00155B83">
        <w:t xml:space="preserve">Das Projekt widmet sich erfolgreich Herausforderungen wie fehlender Risikokenntnis und mangelnden standardisierten Prozessen. Durch das Anzeigen der </w:t>
      </w:r>
      <w:proofErr w:type="spellStart"/>
      <w:proofErr w:type="gramStart"/>
      <w:r w:rsidRPr="00155B83">
        <w:t>Risikopatient:innen</w:t>
      </w:r>
      <w:proofErr w:type="spellEnd"/>
      <w:proofErr w:type="gramEnd"/>
      <w:r w:rsidRPr="00155B83">
        <w:t xml:space="preserve"> screenen Pharmazie und MTD schon vorab den Interventionsbedarf. Zusätzlich wird das medizinische Personal auf der chirurgischen Station durch </w:t>
      </w:r>
      <w:proofErr w:type="spellStart"/>
      <w:proofErr w:type="gramStart"/>
      <w:r w:rsidRPr="00155B83">
        <w:t>Ärzt:innen</w:t>
      </w:r>
      <w:proofErr w:type="spellEnd"/>
      <w:proofErr w:type="gramEnd"/>
      <w:r w:rsidRPr="00155B83">
        <w:t xml:space="preserve"> der Psychiatrie geschult. Durch das frühe und systematische Eingreifen kann für die </w:t>
      </w:r>
      <w:proofErr w:type="spellStart"/>
      <w:proofErr w:type="gramStart"/>
      <w:r w:rsidRPr="00155B83">
        <w:t>Patient:innen</w:t>
      </w:r>
      <w:proofErr w:type="spellEnd"/>
      <w:proofErr w:type="gramEnd"/>
      <w:r w:rsidRPr="00155B83">
        <w:t xml:space="preserve"> wertvolle Zeit gewonnen werden und das Personal wird entlastet.</w:t>
      </w:r>
      <w:r w:rsidRPr="00155B83">
        <w:br/>
      </w:r>
      <w:r w:rsidRPr="00155B83">
        <w:rPr>
          <w:i/>
          <w:iCs/>
        </w:rPr>
        <w:t xml:space="preserve">4) </w:t>
      </w:r>
      <w:proofErr w:type="spellStart"/>
      <w:r w:rsidRPr="00155B83">
        <w:rPr>
          <w:i/>
          <w:iCs/>
        </w:rPr>
        <w:t>Zoremba</w:t>
      </w:r>
      <w:proofErr w:type="spellEnd"/>
      <w:r w:rsidRPr="00155B83">
        <w:rPr>
          <w:i/>
          <w:iCs/>
        </w:rPr>
        <w:t xml:space="preserve"> et al. </w:t>
      </w:r>
      <w:proofErr w:type="spellStart"/>
      <w:r w:rsidRPr="00155B83">
        <w:rPr>
          <w:i/>
          <w:iCs/>
        </w:rPr>
        <w:t>Acute</w:t>
      </w:r>
      <w:proofErr w:type="spellEnd"/>
      <w:r w:rsidRPr="00155B83">
        <w:rPr>
          <w:i/>
          <w:iCs/>
        </w:rPr>
        <w:t xml:space="preserve"> </w:t>
      </w:r>
      <w:proofErr w:type="spellStart"/>
      <w:r w:rsidRPr="00155B83">
        <w:rPr>
          <w:i/>
          <w:iCs/>
        </w:rPr>
        <w:t>confusional</w:t>
      </w:r>
      <w:proofErr w:type="spellEnd"/>
      <w:r w:rsidRPr="00155B83">
        <w:rPr>
          <w:i/>
          <w:iCs/>
        </w:rPr>
        <w:t xml:space="preserve"> </w:t>
      </w:r>
      <w:proofErr w:type="spellStart"/>
      <w:r w:rsidRPr="00155B83">
        <w:rPr>
          <w:i/>
          <w:iCs/>
        </w:rPr>
        <w:t>states</w:t>
      </w:r>
      <w:proofErr w:type="spellEnd"/>
      <w:r w:rsidRPr="00155B83">
        <w:rPr>
          <w:i/>
          <w:iCs/>
        </w:rPr>
        <w:t xml:space="preserve"> in </w:t>
      </w:r>
      <w:proofErr w:type="spellStart"/>
      <w:r w:rsidRPr="00155B83">
        <w:rPr>
          <w:i/>
          <w:iCs/>
        </w:rPr>
        <w:t>hospital</w:t>
      </w:r>
      <w:proofErr w:type="spellEnd"/>
      <w:r w:rsidRPr="00155B83">
        <w:rPr>
          <w:i/>
          <w:iCs/>
        </w:rPr>
        <w:t xml:space="preserve">; </w:t>
      </w:r>
      <w:proofErr w:type="spellStart"/>
      <w:r w:rsidRPr="00155B83">
        <w:rPr>
          <w:i/>
          <w:iCs/>
        </w:rPr>
        <w:t>Dtsch</w:t>
      </w:r>
      <w:proofErr w:type="spellEnd"/>
      <w:r w:rsidRPr="00155B83">
        <w:rPr>
          <w:i/>
          <w:iCs/>
        </w:rPr>
        <w:t xml:space="preserve"> </w:t>
      </w:r>
      <w:proofErr w:type="spellStart"/>
      <w:r w:rsidRPr="00155B83">
        <w:rPr>
          <w:i/>
          <w:iCs/>
        </w:rPr>
        <w:t>Arztebl</w:t>
      </w:r>
      <w:proofErr w:type="spellEnd"/>
      <w:r w:rsidRPr="00155B83">
        <w:rPr>
          <w:i/>
          <w:iCs/>
        </w:rPr>
        <w:t xml:space="preserve"> </w:t>
      </w:r>
      <w:proofErr w:type="spellStart"/>
      <w:r w:rsidRPr="00155B83">
        <w:rPr>
          <w:i/>
          <w:iCs/>
        </w:rPr>
        <w:t>Int</w:t>
      </w:r>
      <w:proofErr w:type="spellEnd"/>
      <w:r w:rsidRPr="00155B83">
        <w:rPr>
          <w:i/>
          <w:iCs/>
        </w:rPr>
        <w:t xml:space="preserve"> 2019; 116: 101-6; DOI: 10.3238/arztebl.2019.0101.</w:t>
      </w:r>
    </w:p>
    <w:p w14:paraId="6A66C10B" w14:textId="77777777" w:rsidR="00155B83" w:rsidRPr="00155B83" w:rsidRDefault="00155B83" w:rsidP="00155B83">
      <w:r w:rsidRPr="00155B83">
        <w:rPr>
          <w:b/>
          <w:bCs/>
        </w:rPr>
        <w:t>Akzeptanz der Initiative:</w:t>
      </w:r>
      <w:r w:rsidRPr="00155B83">
        <w:br/>
        <w:t>Das Projekt wurde 2022 von der ärztlichen Direktion und Pflegedirektion des LKH-Univ. Klinikum Graz ins Leben gerufen. Von Beginn an wurde großer Wert auf Interdisziplinarität gelegt. Eine Herausforderung besteht darin, das Prognose-Tool in den klinischen Alltag zu integrieren. Regelmäßige Treffen dienen dem Austausch über Fortschritt und Verbesserungsmöglichkeiten.</w:t>
      </w:r>
    </w:p>
    <w:p w14:paraId="0308BE8F" w14:textId="77777777" w:rsidR="00155B83" w:rsidRPr="00155B83" w:rsidRDefault="00155B83" w:rsidP="00155B83">
      <w:r w:rsidRPr="00155B83">
        <w:t xml:space="preserve">Ersten Auswertungen zufolge liefert das Delir-Prognose-Tool eine sehr gute Performance mit einer </w:t>
      </w:r>
      <w:r w:rsidRPr="00155B83">
        <w:rPr>
          <w:b/>
          <w:bCs/>
        </w:rPr>
        <w:t>Sensitivität von 85,45 %</w:t>
      </w:r>
      <w:r w:rsidRPr="00155B83">
        <w:t xml:space="preserve">, einer </w:t>
      </w:r>
      <w:r w:rsidRPr="00155B83">
        <w:rPr>
          <w:b/>
          <w:bCs/>
        </w:rPr>
        <w:t>Spezifität von 76,4 %</w:t>
      </w:r>
      <w:r w:rsidRPr="00155B83">
        <w:t xml:space="preserve"> und einer </w:t>
      </w:r>
      <w:r w:rsidRPr="00155B83">
        <w:rPr>
          <w:b/>
          <w:bCs/>
        </w:rPr>
        <w:t xml:space="preserve">Area Under </w:t>
      </w:r>
      <w:proofErr w:type="spellStart"/>
      <w:r w:rsidRPr="00155B83">
        <w:rPr>
          <w:b/>
          <w:bCs/>
        </w:rPr>
        <w:t>the</w:t>
      </w:r>
      <w:proofErr w:type="spellEnd"/>
      <w:r w:rsidRPr="00155B83">
        <w:rPr>
          <w:b/>
          <w:bCs/>
        </w:rPr>
        <w:t xml:space="preserve"> Receiver Operating </w:t>
      </w:r>
      <w:proofErr w:type="spellStart"/>
      <w:r w:rsidRPr="00155B83">
        <w:rPr>
          <w:b/>
          <w:bCs/>
        </w:rPr>
        <w:t>Curve</w:t>
      </w:r>
      <w:proofErr w:type="spellEnd"/>
      <w:r w:rsidRPr="00155B83">
        <w:rPr>
          <w:b/>
          <w:bCs/>
        </w:rPr>
        <w:t xml:space="preserve"> (AUROC) von 0,898</w:t>
      </w:r>
      <w:r w:rsidRPr="00155B83">
        <w:t>.</w:t>
      </w:r>
    </w:p>
    <w:p w14:paraId="01831539" w14:textId="77777777" w:rsidR="00155B83" w:rsidRPr="00155B83" w:rsidRDefault="00155B83" w:rsidP="00155B83">
      <w:r w:rsidRPr="00155B83">
        <w:rPr>
          <w:b/>
          <w:bCs/>
        </w:rPr>
        <w:t>Multidisziplinarität der Initiative:</w:t>
      </w:r>
      <w:r w:rsidRPr="00155B83">
        <w:br/>
        <w:t xml:space="preserve">Das interdisziplinäre Team besteht aus </w:t>
      </w:r>
      <w:proofErr w:type="spellStart"/>
      <w:proofErr w:type="gramStart"/>
      <w:r w:rsidRPr="00155B83">
        <w:t>Vertreter:innen</w:t>
      </w:r>
      <w:proofErr w:type="spellEnd"/>
      <w:proofErr w:type="gramEnd"/>
      <w:r w:rsidRPr="00155B83">
        <w:t xml:space="preserve"> der Berufsgruppen:</w:t>
      </w:r>
    </w:p>
    <w:p w14:paraId="1CD1D1B3" w14:textId="77777777" w:rsidR="00155B83" w:rsidRPr="00155B83" w:rsidRDefault="00155B83" w:rsidP="00155B83">
      <w:pPr>
        <w:numPr>
          <w:ilvl w:val="0"/>
          <w:numId w:val="2"/>
        </w:numPr>
      </w:pPr>
      <w:r w:rsidRPr="00155B83">
        <w:t>Medizin (Chirurgie, Anästhesie, Psychiatrie)</w:t>
      </w:r>
    </w:p>
    <w:p w14:paraId="38668E06" w14:textId="77777777" w:rsidR="00155B83" w:rsidRPr="00155B83" w:rsidRDefault="00155B83" w:rsidP="00155B83">
      <w:pPr>
        <w:numPr>
          <w:ilvl w:val="0"/>
          <w:numId w:val="2"/>
        </w:numPr>
      </w:pPr>
      <w:r w:rsidRPr="00155B83">
        <w:t>Pflege</w:t>
      </w:r>
    </w:p>
    <w:p w14:paraId="5163463F" w14:textId="77777777" w:rsidR="00155B83" w:rsidRPr="00155B83" w:rsidRDefault="00155B83" w:rsidP="00155B83">
      <w:pPr>
        <w:numPr>
          <w:ilvl w:val="0"/>
          <w:numId w:val="2"/>
        </w:numPr>
      </w:pPr>
      <w:r w:rsidRPr="00155B83">
        <w:t>Pharmazie</w:t>
      </w:r>
    </w:p>
    <w:p w14:paraId="688ABABF" w14:textId="77777777" w:rsidR="00155B83" w:rsidRPr="00155B83" w:rsidRDefault="00155B83" w:rsidP="00155B83">
      <w:pPr>
        <w:numPr>
          <w:ilvl w:val="0"/>
          <w:numId w:val="2"/>
        </w:numPr>
      </w:pPr>
      <w:r w:rsidRPr="00155B83">
        <w:t>Physiotherapie</w:t>
      </w:r>
    </w:p>
    <w:p w14:paraId="2D2B25C0" w14:textId="77777777" w:rsidR="00155B83" w:rsidRPr="00155B83" w:rsidRDefault="00155B83" w:rsidP="00155B83">
      <w:pPr>
        <w:numPr>
          <w:ilvl w:val="0"/>
          <w:numId w:val="2"/>
        </w:numPr>
      </w:pPr>
      <w:r w:rsidRPr="00155B83">
        <w:lastRenderedPageBreak/>
        <w:t>Ergotherapie</w:t>
      </w:r>
    </w:p>
    <w:p w14:paraId="6B5413F5" w14:textId="77777777" w:rsidR="00155B83" w:rsidRPr="00155B83" w:rsidRDefault="00155B83" w:rsidP="00155B83">
      <w:pPr>
        <w:numPr>
          <w:ilvl w:val="0"/>
          <w:numId w:val="2"/>
        </w:numPr>
      </w:pPr>
      <w:r w:rsidRPr="00155B83">
        <w:t>Logopädie</w:t>
      </w:r>
    </w:p>
    <w:p w14:paraId="138E9CB6" w14:textId="77777777" w:rsidR="00155B83" w:rsidRPr="00155B83" w:rsidRDefault="00155B83" w:rsidP="00155B83">
      <w:pPr>
        <w:numPr>
          <w:ilvl w:val="0"/>
          <w:numId w:val="2"/>
        </w:numPr>
      </w:pPr>
      <w:r w:rsidRPr="00155B83">
        <w:t>Ernährungsmedizin</w:t>
      </w:r>
    </w:p>
    <w:p w14:paraId="611EAB96" w14:textId="77777777" w:rsidR="00155B83" w:rsidRPr="00155B83" w:rsidRDefault="00155B83" w:rsidP="00155B83">
      <w:pPr>
        <w:numPr>
          <w:ilvl w:val="0"/>
          <w:numId w:val="2"/>
        </w:numPr>
      </w:pPr>
      <w:r w:rsidRPr="00155B83">
        <w:t>IT</w:t>
      </w:r>
    </w:p>
    <w:p w14:paraId="70A97F8B" w14:textId="77777777" w:rsidR="00155B83" w:rsidRPr="00155B83" w:rsidRDefault="00155B83" w:rsidP="00155B83">
      <w:pPr>
        <w:numPr>
          <w:ilvl w:val="0"/>
          <w:numId w:val="2"/>
        </w:numPr>
      </w:pPr>
      <w:proofErr w:type="spellStart"/>
      <w:r w:rsidRPr="00155B83">
        <w:t>Qualitäts-und</w:t>
      </w:r>
      <w:proofErr w:type="spellEnd"/>
      <w:r w:rsidRPr="00155B83">
        <w:t xml:space="preserve"> Risikomanagement</w:t>
      </w:r>
    </w:p>
    <w:p w14:paraId="318EE079" w14:textId="77777777" w:rsidR="00155B83" w:rsidRPr="00155B83" w:rsidRDefault="00155B83" w:rsidP="00155B83">
      <w:pPr>
        <w:numPr>
          <w:ilvl w:val="0"/>
          <w:numId w:val="2"/>
        </w:numPr>
      </w:pPr>
      <w:proofErr w:type="spellStart"/>
      <w:r w:rsidRPr="00155B83">
        <w:t>Prediciting</w:t>
      </w:r>
      <w:proofErr w:type="spellEnd"/>
      <w:r w:rsidRPr="00155B83">
        <w:t xml:space="preserve"> Health GmbH</w:t>
      </w:r>
    </w:p>
    <w:p w14:paraId="514647DD" w14:textId="77777777" w:rsidR="00155B83" w:rsidRPr="00155B83" w:rsidRDefault="00155B83" w:rsidP="00155B83">
      <w:r w:rsidRPr="00155B83">
        <w:t xml:space="preserve">Ein </w:t>
      </w:r>
      <w:proofErr w:type="spellStart"/>
      <w:proofErr w:type="gramStart"/>
      <w:r w:rsidRPr="00155B83">
        <w:t>Multiplikator:innen</w:t>
      </w:r>
      <w:proofErr w:type="gramEnd"/>
      <w:r w:rsidRPr="00155B83">
        <w:t>-System</w:t>
      </w:r>
      <w:proofErr w:type="spellEnd"/>
      <w:r w:rsidRPr="00155B83">
        <w:t xml:space="preserve"> sorgt für eine breite Wissensvermittlung.</w:t>
      </w:r>
    </w:p>
    <w:p w14:paraId="103FD52F" w14:textId="77777777" w:rsidR="00155B83" w:rsidRPr="00155B83" w:rsidRDefault="00155B83" w:rsidP="00155B83">
      <w:r w:rsidRPr="00155B83">
        <w:rPr>
          <w:b/>
          <w:bCs/>
        </w:rPr>
        <w:t>Erzielte Effekte:</w:t>
      </w:r>
      <w:r w:rsidRPr="00155B83">
        <w:br/>
        <w:t>Da sich das Projekt noch in der Pilotphase befindet, liegen derzeit noch keine Endergebnisse vor. Angestrebte Effekte sind:</w:t>
      </w:r>
    </w:p>
    <w:p w14:paraId="7BE23520" w14:textId="77777777" w:rsidR="00155B83" w:rsidRPr="00155B83" w:rsidRDefault="00155B83" w:rsidP="00155B83">
      <w:pPr>
        <w:numPr>
          <w:ilvl w:val="0"/>
          <w:numId w:val="3"/>
        </w:numPr>
      </w:pPr>
      <w:r w:rsidRPr="00155B83">
        <w:t>Handeln, bevor erste Symptome auftreten, und im besten Fall die Entstehung eines Delirs verhindern.</w:t>
      </w:r>
    </w:p>
    <w:p w14:paraId="301D10A6" w14:textId="77777777" w:rsidR="00155B83" w:rsidRPr="00155B83" w:rsidRDefault="00155B83" w:rsidP="00155B83">
      <w:pPr>
        <w:numPr>
          <w:ilvl w:val="0"/>
          <w:numId w:val="3"/>
        </w:numPr>
      </w:pPr>
      <w:r w:rsidRPr="00155B83">
        <w:t>Das Tool listet relevante Risikofaktoren auf und dient als Entscheidungshilfe.</w:t>
      </w:r>
    </w:p>
    <w:p w14:paraId="66148C3D" w14:textId="77777777" w:rsidR="00155B83" w:rsidRPr="00155B83" w:rsidRDefault="00155B83" w:rsidP="00155B83">
      <w:pPr>
        <w:numPr>
          <w:ilvl w:val="0"/>
          <w:numId w:val="3"/>
        </w:numPr>
      </w:pPr>
      <w:r w:rsidRPr="00155B83">
        <w:t>Früheres Ergreifen von vorbeugenden Maßnahmen durch das automatische Aktiv-Werden der MTDs.</w:t>
      </w:r>
    </w:p>
    <w:p w14:paraId="3D54FB7E" w14:textId="77777777" w:rsidR="00155B83" w:rsidRPr="00155B83" w:rsidRDefault="00155B83" w:rsidP="00155B83">
      <w:pPr>
        <w:numPr>
          <w:ilvl w:val="0"/>
          <w:numId w:val="3"/>
        </w:numPr>
      </w:pPr>
      <w:r w:rsidRPr="00155B83">
        <w:t xml:space="preserve">Zeitnahe Prüfung der Medikation und Erstellung pharmazeutischer </w:t>
      </w:r>
      <w:proofErr w:type="spellStart"/>
      <w:r w:rsidRPr="00155B83">
        <w:t>Konsile</w:t>
      </w:r>
      <w:proofErr w:type="spellEnd"/>
      <w:r w:rsidRPr="00155B83">
        <w:t>.</w:t>
      </w:r>
    </w:p>
    <w:p w14:paraId="0040E9DE" w14:textId="77777777" w:rsidR="00155B83" w:rsidRPr="00155B83" w:rsidRDefault="00155B83" w:rsidP="00155B83">
      <w:pPr>
        <w:numPr>
          <w:ilvl w:val="0"/>
          <w:numId w:val="3"/>
        </w:numPr>
      </w:pPr>
      <w:r w:rsidRPr="00155B83">
        <w:t>Entlastung der Pflege durch Einbindung mehrerer Berufsgruppen.</w:t>
      </w:r>
      <w:r w:rsidRPr="00155B83">
        <w:br/>
        <w:t xml:space="preserve">Die Ergebnisse sollen über Informationen aus dem interprofessionellen Dekurs und über eine Senkung der </w:t>
      </w:r>
      <w:proofErr w:type="spellStart"/>
      <w:r w:rsidRPr="00155B83">
        <w:t>Delirrate</w:t>
      </w:r>
      <w:proofErr w:type="spellEnd"/>
      <w:r w:rsidRPr="00155B83">
        <w:t xml:space="preserve"> beschrieben werden.</w:t>
      </w:r>
    </w:p>
    <w:p w14:paraId="55589C00" w14:textId="77777777" w:rsidR="00155B83" w:rsidRPr="00155B83" w:rsidRDefault="00155B83" w:rsidP="00155B83">
      <w:r w:rsidRPr="00155B83">
        <w:rPr>
          <w:b/>
          <w:bCs/>
        </w:rPr>
        <w:t>Sicherstellung der Nachhaltigkeit:</w:t>
      </w:r>
    </w:p>
    <w:p w14:paraId="4365883D" w14:textId="77777777" w:rsidR="00155B83" w:rsidRPr="00155B83" w:rsidRDefault="00155B83" w:rsidP="00155B83">
      <w:pPr>
        <w:numPr>
          <w:ilvl w:val="0"/>
          <w:numId w:val="4"/>
        </w:numPr>
      </w:pPr>
      <w:r w:rsidRPr="00155B83">
        <w:t xml:space="preserve">Einbindung der Stabsstelle für </w:t>
      </w:r>
      <w:proofErr w:type="spellStart"/>
      <w:r w:rsidRPr="00155B83">
        <w:t>Qualitäts-und</w:t>
      </w:r>
      <w:proofErr w:type="spellEnd"/>
      <w:r w:rsidRPr="00155B83">
        <w:t xml:space="preserve"> Risikomanagement als Schnittstelle.</w:t>
      </w:r>
    </w:p>
    <w:p w14:paraId="29286507" w14:textId="77777777" w:rsidR="00155B83" w:rsidRPr="00155B83" w:rsidRDefault="00155B83" w:rsidP="00155B83">
      <w:pPr>
        <w:numPr>
          <w:ilvl w:val="0"/>
          <w:numId w:val="4"/>
        </w:numPr>
      </w:pPr>
      <w:r w:rsidRPr="00155B83">
        <w:t>Regelmäßige interdisziplinäre Projektmeetings.</w:t>
      </w:r>
    </w:p>
    <w:p w14:paraId="0DB8815B" w14:textId="77777777" w:rsidR="00155B83" w:rsidRPr="00155B83" w:rsidRDefault="00155B83" w:rsidP="00155B83">
      <w:pPr>
        <w:numPr>
          <w:ilvl w:val="0"/>
          <w:numId w:val="4"/>
        </w:numPr>
      </w:pPr>
      <w:r w:rsidRPr="00155B83">
        <w:t>Nach Evaluierung der Pilotphase wird eine schrittweise Ausrollung auf weitere Abteilungen diskutiert.</w:t>
      </w:r>
    </w:p>
    <w:p w14:paraId="7A47424B" w14:textId="77777777" w:rsidR="00155B83" w:rsidRPr="00155B83" w:rsidRDefault="00155B83" w:rsidP="00155B83">
      <w:pPr>
        <w:numPr>
          <w:ilvl w:val="0"/>
          <w:numId w:val="4"/>
        </w:numPr>
      </w:pPr>
      <w:r w:rsidRPr="00155B83">
        <w:t>Eine Prozessbeschreibung, interdisziplinäre SOPs und monatliche Auswertungen sichern den Prozess.</w:t>
      </w:r>
    </w:p>
    <w:p w14:paraId="1AC726F7" w14:textId="77777777" w:rsidR="00155B83" w:rsidRPr="00155B83" w:rsidRDefault="00155B83" w:rsidP="00155B83">
      <w:pPr>
        <w:numPr>
          <w:ilvl w:val="0"/>
          <w:numId w:val="4"/>
        </w:numPr>
      </w:pPr>
      <w:r w:rsidRPr="00155B83">
        <w:t>Eine Diplomarbeit (Humanmedizin) läuft parallel.</w:t>
      </w:r>
    </w:p>
    <w:p w14:paraId="652EA4F9" w14:textId="77777777" w:rsidR="00155B83" w:rsidRPr="00155B83" w:rsidRDefault="00155B83" w:rsidP="00155B83">
      <w:r w:rsidRPr="00155B83">
        <w:rPr>
          <w:b/>
          <w:bCs/>
        </w:rPr>
        <w:t xml:space="preserve">Conflict </w:t>
      </w:r>
      <w:proofErr w:type="spellStart"/>
      <w:r w:rsidRPr="00155B83">
        <w:rPr>
          <w:b/>
          <w:bCs/>
        </w:rPr>
        <w:t>of</w:t>
      </w:r>
      <w:proofErr w:type="spellEnd"/>
      <w:r w:rsidRPr="00155B83">
        <w:rPr>
          <w:b/>
          <w:bCs/>
        </w:rPr>
        <w:t xml:space="preserve"> Interest:</w:t>
      </w:r>
      <w:r w:rsidRPr="00155B83">
        <w:br/>
        <w:t xml:space="preserve">Es besteht kein „Conflict </w:t>
      </w:r>
      <w:proofErr w:type="spellStart"/>
      <w:r w:rsidRPr="00155B83">
        <w:t>of</w:t>
      </w:r>
      <w:proofErr w:type="spellEnd"/>
      <w:r w:rsidRPr="00155B83">
        <w:t xml:space="preserve"> Interest“.</w:t>
      </w:r>
    </w:p>
    <w:p w14:paraId="497BDD17" w14:textId="77777777" w:rsidR="00155B83" w:rsidRPr="00155B83" w:rsidRDefault="00155B83" w:rsidP="00155B83">
      <w:r w:rsidRPr="00155B83">
        <w:rPr>
          <w:b/>
          <w:bCs/>
        </w:rPr>
        <w:t>Projektdauer:</w:t>
      </w:r>
      <w:r w:rsidRPr="00155B83">
        <w:br/>
        <w:t>Der Projektstart war im Oktober 2022 und läuft bis Ende 2025.</w:t>
      </w:r>
    </w:p>
    <w:p w14:paraId="2FDDA621" w14:textId="77777777" w:rsidR="00155B83" w:rsidRPr="00155B83" w:rsidRDefault="00155B83" w:rsidP="00155B83">
      <w:r w:rsidRPr="00155B83">
        <w:rPr>
          <w:b/>
          <w:bCs/>
        </w:rPr>
        <w:t>Vorname Nachname:</w:t>
      </w:r>
      <w:r w:rsidRPr="00155B83">
        <w:br/>
        <w:t>Mag. Sonja Winkler</w:t>
      </w:r>
    </w:p>
    <w:p w14:paraId="653B139B" w14:textId="77777777" w:rsidR="00155B83" w:rsidRPr="00155B83" w:rsidRDefault="00155B83" w:rsidP="00155B83">
      <w:r w:rsidRPr="00155B83">
        <w:rPr>
          <w:b/>
          <w:bCs/>
        </w:rPr>
        <w:t>Adresse:</w:t>
      </w:r>
      <w:r w:rsidRPr="00155B83">
        <w:br/>
      </w:r>
      <w:proofErr w:type="spellStart"/>
      <w:r w:rsidRPr="00155B83">
        <w:t>Auenbruggerplatz</w:t>
      </w:r>
      <w:proofErr w:type="spellEnd"/>
      <w:r w:rsidRPr="00155B83">
        <w:t xml:space="preserve"> 1/3 EG</w:t>
      </w:r>
    </w:p>
    <w:p w14:paraId="266C166C" w14:textId="77777777" w:rsidR="00155B83" w:rsidRPr="00155B83" w:rsidRDefault="00155B83" w:rsidP="00155B83">
      <w:proofErr w:type="gramStart"/>
      <w:r w:rsidRPr="00155B83">
        <w:rPr>
          <w:b/>
          <w:bCs/>
        </w:rPr>
        <w:lastRenderedPageBreak/>
        <w:t>PLZ Ort</w:t>
      </w:r>
      <w:proofErr w:type="gramEnd"/>
      <w:r w:rsidRPr="00155B83">
        <w:rPr>
          <w:b/>
          <w:bCs/>
        </w:rPr>
        <w:t>:</w:t>
      </w:r>
      <w:r w:rsidRPr="00155B83">
        <w:br/>
        <w:t>8036 Graz</w:t>
      </w:r>
    </w:p>
    <w:p w14:paraId="1BA50368" w14:textId="77777777" w:rsidR="00155B83" w:rsidRPr="00155B83" w:rsidRDefault="00155B83" w:rsidP="00155B83">
      <w:r w:rsidRPr="00155B83">
        <w:rPr>
          <w:b/>
          <w:bCs/>
        </w:rPr>
        <w:t>Telefon:</w:t>
      </w:r>
      <w:r w:rsidRPr="00155B83">
        <w:br/>
        <w:t>0316-385-83793</w:t>
      </w:r>
    </w:p>
    <w:p w14:paraId="24805BEA" w14:textId="77777777" w:rsidR="00155B83" w:rsidRPr="00155B83" w:rsidRDefault="00155B83" w:rsidP="00155B83">
      <w:r w:rsidRPr="00155B83">
        <w:rPr>
          <w:b/>
          <w:bCs/>
        </w:rPr>
        <w:t>E-Mail:</w:t>
      </w:r>
      <w:r w:rsidRPr="00155B83">
        <w:br/>
      </w:r>
      <w:hyperlink r:id="rId5" w:tgtFrame="_blank" w:history="1">
        <w:r w:rsidRPr="00155B83">
          <w:rPr>
            <w:rStyle w:val="Hyperlink"/>
          </w:rPr>
          <w:t>Sonja.winkler@uniklinikum.kages.at</w:t>
        </w:r>
      </w:hyperlink>
    </w:p>
    <w:p w14:paraId="6B52DD26" w14:textId="77777777" w:rsidR="00155B83" w:rsidRPr="00155B83" w:rsidRDefault="00155B83" w:rsidP="00155B83">
      <w:r w:rsidRPr="00155B83">
        <w:rPr>
          <w:b/>
          <w:bCs/>
        </w:rPr>
        <w:t>Name des Trägers:</w:t>
      </w:r>
      <w:r w:rsidRPr="00155B83">
        <w:br/>
      </w:r>
      <w:proofErr w:type="spellStart"/>
      <w:r w:rsidRPr="00155B83">
        <w:t>KAGes</w:t>
      </w:r>
      <w:proofErr w:type="spellEnd"/>
      <w:r w:rsidRPr="00155B83">
        <w:t>, LKH-Univ. Klinikum Graz, Stabsstelle QM-RM</w:t>
      </w:r>
      <w:r w:rsidRPr="00155B83">
        <w:br/>
        <w:t>Anzahl der Betten: 1554*</w:t>
      </w:r>
      <w:r w:rsidRPr="00155B83">
        <w:br/>
        <w:t>Personal: 7.469 Mitarbeitende (Landesangestellte)*</w:t>
      </w:r>
      <w:r w:rsidRPr="00155B83">
        <w:br/>
      </w:r>
      <w:r w:rsidRPr="00155B83">
        <w:rPr>
          <w:i/>
          <w:iCs/>
        </w:rPr>
        <w:t>*Stand August 2024</w:t>
      </w:r>
    </w:p>
    <w:p w14:paraId="28177A82"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74B93"/>
    <w:multiLevelType w:val="multilevel"/>
    <w:tmpl w:val="F2A08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2077D"/>
    <w:multiLevelType w:val="multilevel"/>
    <w:tmpl w:val="C91E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05BAA"/>
    <w:multiLevelType w:val="multilevel"/>
    <w:tmpl w:val="B3EA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092B66"/>
    <w:multiLevelType w:val="multilevel"/>
    <w:tmpl w:val="6BA62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282273">
    <w:abstractNumId w:val="3"/>
  </w:num>
  <w:num w:numId="2" w16cid:durableId="2146846151">
    <w:abstractNumId w:val="2"/>
  </w:num>
  <w:num w:numId="3" w16cid:durableId="245572677">
    <w:abstractNumId w:val="1"/>
  </w:num>
  <w:num w:numId="4" w16cid:durableId="192814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83"/>
    <w:rsid w:val="00155B83"/>
    <w:rsid w:val="00292B62"/>
    <w:rsid w:val="006A00FD"/>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777B"/>
  <w15:chartTrackingRefBased/>
  <w15:docId w15:val="{68839AAC-572C-41CF-B73D-1FF8FB062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55B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55B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55B8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55B8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55B8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55B8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55B8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55B8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55B8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55B83"/>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155B83"/>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155B83"/>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155B83"/>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155B83"/>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155B8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55B8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55B8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55B83"/>
    <w:rPr>
      <w:rFonts w:eastAsiaTheme="majorEastAsia" w:cstheme="majorBidi"/>
      <w:color w:val="272727" w:themeColor="text1" w:themeTint="D8"/>
    </w:rPr>
  </w:style>
  <w:style w:type="paragraph" w:styleId="Titel">
    <w:name w:val="Title"/>
    <w:basedOn w:val="Standard"/>
    <w:next w:val="Standard"/>
    <w:link w:val="TitelZchn"/>
    <w:uiPriority w:val="10"/>
    <w:qFormat/>
    <w:rsid w:val="00155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55B8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55B8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55B8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55B8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55B83"/>
    <w:rPr>
      <w:i/>
      <w:iCs/>
      <w:color w:val="404040" w:themeColor="text1" w:themeTint="BF"/>
    </w:rPr>
  </w:style>
  <w:style w:type="paragraph" w:styleId="Listenabsatz">
    <w:name w:val="List Paragraph"/>
    <w:basedOn w:val="Standard"/>
    <w:uiPriority w:val="34"/>
    <w:qFormat/>
    <w:rsid w:val="00155B83"/>
    <w:pPr>
      <w:ind w:left="720"/>
      <w:contextualSpacing/>
    </w:pPr>
  </w:style>
  <w:style w:type="character" w:styleId="IntensiveHervorhebung">
    <w:name w:val="Intense Emphasis"/>
    <w:basedOn w:val="Absatz-Standardschriftart"/>
    <w:uiPriority w:val="21"/>
    <w:qFormat/>
    <w:rsid w:val="00155B83"/>
    <w:rPr>
      <w:i/>
      <w:iCs/>
      <w:color w:val="2F5496" w:themeColor="accent1" w:themeShade="BF"/>
    </w:rPr>
  </w:style>
  <w:style w:type="paragraph" w:styleId="IntensivesZitat">
    <w:name w:val="Intense Quote"/>
    <w:basedOn w:val="Standard"/>
    <w:next w:val="Standard"/>
    <w:link w:val="IntensivesZitatZchn"/>
    <w:uiPriority w:val="30"/>
    <w:qFormat/>
    <w:rsid w:val="00155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55B83"/>
    <w:rPr>
      <w:i/>
      <w:iCs/>
      <w:color w:val="2F5496" w:themeColor="accent1" w:themeShade="BF"/>
    </w:rPr>
  </w:style>
  <w:style w:type="character" w:styleId="IntensiverVerweis">
    <w:name w:val="Intense Reference"/>
    <w:basedOn w:val="Absatz-Standardschriftart"/>
    <w:uiPriority w:val="32"/>
    <w:qFormat/>
    <w:rsid w:val="00155B83"/>
    <w:rPr>
      <w:b/>
      <w:bCs/>
      <w:smallCaps/>
      <w:color w:val="2F5496" w:themeColor="accent1" w:themeShade="BF"/>
      <w:spacing w:val="5"/>
    </w:rPr>
  </w:style>
  <w:style w:type="character" w:styleId="Hyperlink">
    <w:name w:val="Hyperlink"/>
    <w:basedOn w:val="Absatz-Standardschriftart"/>
    <w:uiPriority w:val="99"/>
    <w:unhideWhenUsed/>
    <w:rsid w:val="00155B83"/>
    <w:rPr>
      <w:color w:val="0563C1" w:themeColor="hyperlink"/>
      <w:u w:val="single"/>
    </w:rPr>
  </w:style>
  <w:style w:type="character" w:styleId="NichtaufgelsteErwhnung">
    <w:name w:val="Unresolved Mention"/>
    <w:basedOn w:val="Absatz-Standardschriftart"/>
    <w:uiPriority w:val="99"/>
    <w:semiHidden/>
    <w:unhideWhenUsed/>
    <w:rsid w:val="0015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5900">
      <w:bodyDiv w:val="1"/>
      <w:marLeft w:val="0"/>
      <w:marRight w:val="0"/>
      <w:marTop w:val="0"/>
      <w:marBottom w:val="0"/>
      <w:divBdr>
        <w:top w:val="none" w:sz="0" w:space="0" w:color="auto"/>
        <w:left w:val="none" w:sz="0" w:space="0" w:color="auto"/>
        <w:bottom w:val="none" w:sz="0" w:space="0" w:color="auto"/>
        <w:right w:val="none" w:sz="0" w:space="0" w:color="auto"/>
      </w:divBdr>
    </w:div>
    <w:div w:id="3195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sa=E&amp;q=mailto%3ASonja.winkler%40uniklinikum.kages.a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9809</Characters>
  <Application>Microsoft Office Word</Application>
  <DocSecurity>0</DocSecurity>
  <Lines>81</Lines>
  <Paragraphs>22</Paragraphs>
  <ScaleCrop>false</ScaleCrop>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2025-07-11T12:52:00Z</dcterms:created>
  <dcterms:modified xsi:type="dcterms:W3CDTF">2025-07-11T12:54:00Z</dcterms:modified>
</cp:coreProperties>
</file>