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A5B5" w14:textId="77777777" w:rsidR="00234DED" w:rsidRPr="00234DED" w:rsidRDefault="00234DED" w:rsidP="00234DED">
      <w:r w:rsidRPr="00234DED">
        <w:rPr>
          <w:b/>
          <w:bCs/>
        </w:rPr>
        <w:t>Titel der Initiative:</w:t>
      </w:r>
      <w:r w:rsidRPr="00234DED">
        <w:rPr>
          <w:b/>
          <w:bCs/>
        </w:rPr>
        <w:br/>
      </w:r>
      <w:r w:rsidRPr="00234DED">
        <w:t xml:space="preserve">Arzneimitteltherapiesicherheit </w:t>
      </w:r>
      <w:proofErr w:type="gramStart"/>
      <w:r w:rsidRPr="00234DED">
        <w:t>durch klinische Pharmazeut</w:t>
      </w:r>
      <w:proofErr w:type="gramEnd"/>
      <w:r w:rsidRPr="00234DED">
        <w:t>*innen</w:t>
      </w:r>
    </w:p>
    <w:p w14:paraId="06E0CD86" w14:textId="77777777" w:rsidR="00234DED" w:rsidRPr="00234DED" w:rsidRDefault="00234DED" w:rsidP="00234DED">
      <w:r w:rsidRPr="00234DED">
        <w:rPr>
          <w:b/>
          <w:bCs/>
        </w:rPr>
        <w:t>Bereich der Initiative:</w:t>
      </w:r>
      <w:r w:rsidRPr="00234DED">
        <w:rPr>
          <w:b/>
          <w:bCs/>
        </w:rPr>
        <w:br/>
      </w:r>
      <w:r w:rsidRPr="00234DED">
        <w:t>Stationär Ambulant</w:t>
      </w:r>
    </w:p>
    <w:p w14:paraId="79394D11" w14:textId="77777777" w:rsidR="00234DED" w:rsidRPr="00234DED" w:rsidRDefault="00234DED" w:rsidP="00234DED">
      <w:r w:rsidRPr="00234DED">
        <w:rPr>
          <w:b/>
          <w:bCs/>
        </w:rPr>
        <w:t>Kurzbeschreibung der Initiative:</w:t>
      </w:r>
      <w:r w:rsidRPr="00234DED">
        <w:rPr>
          <w:b/>
          <w:bCs/>
        </w:rPr>
        <w:br/>
      </w:r>
      <w:r w:rsidRPr="00234DED">
        <w:t>Arzneimitteltherapiesicherheit durch klinische Pharmazeut</w:t>
      </w:r>
      <w:r w:rsidRPr="00234DED">
        <w:rPr>
          <w:i/>
          <w:iCs/>
        </w:rPr>
        <w:t>innen Am Universitätsklinikum AKH Wien wird der risikoreiche Arzneimitteltherapie-Prozess – von der Aufnahme, über den stationären Aufenthalt, bis zum Entlassungsgespräch – durch Klinische Pharmazeut</w:t>
      </w:r>
      <w:r w:rsidRPr="00234DED">
        <w:t xml:space="preserve">innen begleitet. Das zentrale Ziel der klinisch-pharmazeutischen Arbeit ist die Vermeidung Arzneimittel-bezogener Probleme, um so die Arzneimitteltherapiesicherheit (AMTS) und letztlich auch die </w:t>
      </w:r>
      <w:proofErr w:type="spellStart"/>
      <w:r w:rsidRPr="00234DED">
        <w:t>Patient</w:t>
      </w:r>
      <w:r w:rsidRPr="00234DED">
        <w:rPr>
          <w:i/>
          <w:iCs/>
        </w:rPr>
        <w:t>innensicherheit</w:t>
      </w:r>
      <w:proofErr w:type="spellEnd"/>
      <w:r w:rsidRPr="00234DED">
        <w:rPr>
          <w:i/>
          <w:iCs/>
        </w:rPr>
        <w:t xml:space="preserve"> zu maximieren. Dieses Ziel wird durch ein Maßnahmenbündel und verschiedene Initiativen erreicht. Neben der Teilnahme an Stationsvisiten und der regelmäßigen Durchführung von Medikationschecks tragen auch der Betrieb einer Spezialambulanz für Arzneimitteltherapie und Interaktionen, Maßnahmen des </w:t>
      </w:r>
      <w:proofErr w:type="spellStart"/>
      <w:r w:rsidRPr="00234DED">
        <w:rPr>
          <w:i/>
          <w:iCs/>
        </w:rPr>
        <w:t>Antimicrobial</w:t>
      </w:r>
      <w:proofErr w:type="spellEnd"/>
      <w:r w:rsidRPr="00234DED">
        <w:rPr>
          <w:i/>
          <w:iCs/>
        </w:rPr>
        <w:t xml:space="preserve"> Stewardships, ein </w:t>
      </w:r>
      <w:proofErr w:type="spellStart"/>
      <w:r w:rsidRPr="00234DED">
        <w:rPr>
          <w:i/>
          <w:iCs/>
        </w:rPr>
        <w:t>Patient</w:t>
      </w:r>
      <w:r w:rsidRPr="00234DED">
        <w:t>inneninformationszentrum</w:t>
      </w:r>
      <w:proofErr w:type="spellEnd"/>
      <w:r w:rsidRPr="00234DED">
        <w:t xml:space="preserve"> und aktive Pharmakovigilanz zur AMTS bei.</w:t>
      </w:r>
    </w:p>
    <w:p w14:paraId="264E78A4" w14:textId="77777777" w:rsidR="00234DED" w:rsidRPr="00234DED" w:rsidRDefault="00234DED" w:rsidP="00234DED">
      <w:r w:rsidRPr="00234DED">
        <w:rPr>
          <w:b/>
          <w:bCs/>
        </w:rPr>
        <w:t>Darstellung Ausgangslage:</w:t>
      </w:r>
      <w:r w:rsidRPr="00234DED">
        <w:rPr>
          <w:b/>
          <w:bCs/>
        </w:rPr>
        <w:br/>
      </w:r>
      <w:r w:rsidRPr="00234DED">
        <w:t>Arzneimitteltherapie ist ein Hoch-Risiko-Prozess. Durchschnittlich ist 1 von 20 Patient*innen von sogenannten vermeidbaren Medikationsfehlern betroffen, wobei rund 50% dieser Medikationsfehler zum Zeitpunkt der Verordnung von Arzneimitteln passieren, weitere 50% entlang des gesamten Medikationsprozesses. Die Begleitung des Medikationsprozesses durch umfassende klinisch-pharmazeutische Expertise stellt eine Evidenz-basierte Risiko-Minimierungsmaßnahme dar.</w:t>
      </w:r>
    </w:p>
    <w:p w14:paraId="2B7701F9" w14:textId="77777777" w:rsidR="00234DED" w:rsidRPr="00234DED" w:rsidRDefault="00234DED" w:rsidP="00234DED">
      <w:r w:rsidRPr="00234DED">
        <w:rPr>
          <w:b/>
          <w:bCs/>
        </w:rPr>
        <w:t>Konkrete Beschreibung:</w:t>
      </w:r>
      <w:r w:rsidRPr="00234DED">
        <w:rPr>
          <w:b/>
          <w:bCs/>
        </w:rPr>
        <w:br/>
      </w:r>
      <w:r w:rsidRPr="00234DED">
        <w:t xml:space="preserve">Regelmäßige Visitenbegleitung und Medikationschecks zur Verbesserung der Arzneimitteltherapiesicherheit wurden implementiert. Bereiche, die nicht regelmäßig klinisch-pharmazeutisch betreut werden können, haben die Möglichkeit bei Arzneimittel-assoziierten Problemen/Fragestellungen ein </w:t>
      </w:r>
      <w:proofErr w:type="spellStart"/>
      <w:r w:rsidRPr="00234DED">
        <w:t>Apothekenkonsil</w:t>
      </w:r>
      <w:proofErr w:type="spellEnd"/>
      <w:r w:rsidRPr="00234DED">
        <w:t xml:space="preserve"> elektronisch anzufordern. Empfehlungen, die zur Lösung des angefragten Problems beitragen können, werden als </w:t>
      </w:r>
      <w:proofErr w:type="spellStart"/>
      <w:r w:rsidRPr="00234DED">
        <w:t>Konsil</w:t>
      </w:r>
      <w:proofErr w:type="spellEnd"/>
      <w:r w:rsidRPr="00234DED">
        <w:t xml:space="preserve"> verschriftlicht und sind somit Teil der </w:t>
      </w:r>
      <w:proofErr w:type="spellStart"/>
      <w:r w:rsidRPr="00234DED">
        <w:t>Patient</w:t>
      </w:r>
      <w:r w:rsidRPr="00234DED">
        <w:rPr>
          <w:i/>
          <w:iCs/>
        </w:rPr>
        <w:t>innengeschichte</w:t>
      </w:r>
      <w:proofErr w:type="spellEnd"/>
      <w:r w:rsidRPr="00234DED">
        <w:rPr>
          <w:i/>
          <w:iCs/>
        </w:rPr>
        <w:t>. Um den rationalen Einsatz von antimikrobiellen Wirkstoffen zu gewährleisten, sind klinische Pharmazeut</w:t>
      </w:r>
      <w:r w:rsidRPr="00234DED">
        <w:t xml:space="preserve">innen Teil des </w:t>
      </w:r>
      <w:proofErr w:type="spellStart"/>
      <w:r w:rsidRPr="00234DED">
        <w:t>Antimicrobial</w:t>
      </w:r>
      <w:proofErr w:type="spellEnd"/>
      <w:r w:rsidRPr="00234DED">
        <w:t xml:space="preserve"> Stewardship (AMS) Teams des AKH und Teil der AMS-Visiten. Nicht stationäre Patient</w:t>
      </w:r>
      <w:r w:rsidRPr="00234DED">
        <w:rPr>
          <w:i/>
          <w:iCs/>
        </w:rPr>
        <w:t>innen/Angehörige/Mitarbeiter</w:t>
      </w:r>
      <w:r w:rsidRPr="00234DED">
        <w:t xml:space="preserve">innen des AKH mit Fragen zu Arzneimitteln können sich an das </w:t>
      </w:r>
      <w:proofErr w:type="spellStart"/>
      <w:r w:rsidRPr="00234DED">
        <w:t>Patient</w:t>
      </w:r>
      <w:r w:rsidRPr="00234DED">
        <w:rPr>
          <w:i/>
          <w:iCs/>
        </w:rPr>
        <w:t>inneninformationszentrum</w:t>
      </w:r>
      <w:proofErr w:type="spellEnd"/>
      <w:r w:rsidRPr="00234DED">
        <w:rPr>
          <w:i/>
          <w:iCs/>
        </w:rPr>
        <w:t xml:space="preserve"> des AKH wenden. Hier werden von klinischen </w:t>
      </w:r>
      <w:proofErr w:type="spellStart"/>
      <w:r w:rsidRPr="00234DED">
        <w:rPr>
          <w:i/>
          <w:iCs/>
        </w:rPr>
        <w:t>pharmazeut</w:t>
      </w:r>
      <w:r w:rsidRPr="00234DED">
        <w:t>innen</w:t>
      </w:r>
      <w:proofErr w:type="spellEnd"/>
      <w:r w:rsidRPr="00234DED">
        <w:t xml:space="preserve"> täglich Sprechstunden abgehalten, die niederschwellig, ohne Termin wahrgenommen werden können. Bei umfangreicheren Fragestellungen die Arzneimitteltherapie betreffend, können Patient</w:t>
      </w:r>
      <w:r w:rsidRPr="00234DED">
        <w:rPr>
          <w:i/>
          <w:iCs/>
        </w:rPr>
        <w:t xml:space="preserve">innen an die </w:t>
      </w:r>
      <w:proofErr w:type="spellStart"/>
      <w:r w:rsidRPr="00234DED">
        <w:rPr>
          <w:i/>
          <w:iCs/>
        </w:rPr>
        <w:t>Spezialmbulanz</w:t>
      </w:r>
      <w:proofErr w:type="spellEnd"/>
      <w:r w:rsidRPr="00234DED">
        <w:rPr>
          <w:i/>
          <w:iCs/>
        </w:rPr>
        <w:t xml:space="preserve"> für Arzneimitteltherapie und Interaktionen überwiesen werden, in der sie von Ärzt</w:t>
      </w:r>
      <w:r w:rsidRPr="00234DED">
        <w:t>innen der klinischen Pharmakologie und klinischen Pharmazeut</w:t>
      </w:r>
      <w:r w:rsidRPr="00234DED">
        <w:rPr>
          <w:i/>
          <w:iCs/>
        </w:rPr>
        <w:t>innen betreut werden. Um die Meldung von unerwünschten Arzneimittel-wirkungen organisatorisch zu erleichtern, können seit November 2024 Meldungen automatisiert durch Anklicken eines „Nebenwirkungsbuttons“ im Krankenhausinformationssystem an die Abteilung Arzneimittelinformation und klinische Pharmazie übermittelt werden. Die Erfassung der unerwünschten Arzneimittelwirkung und die Übermittlung an die Behörde erfolgt durch die Abteilung Arzneimittelinformation und klinische Pharmazie. Klinische Pharmazeut</w:t>
      </w:r>
      <w:r w:rsidRPr="00234DED">
        <w:t>innen halten auf Wunsch von Stationen Vorträge zu unterschiedlichsten Themen (Arzneimittelapplikation über Sonde, Arzneimittelinteraktionen und -inkompatibilitäten, Delir und Demenz, Protonenpumpenhemmer, Schmerztherapie). Die Dokumentation und Evaluierung der klinisch-pharmazeutischen Tätigkeit erfolgt entsprechend der Fachliteratur kontinuierlich und wird jährlich in einem Review zusammengefasst und präsentiert.</w:t>
      </w:r>
    </w:p>
    <w:p w14:paraId="0F93717F" w14:textId="77777777" w:rsidR="00234DED" w:rsidRPr="00234DED" w:rsidRDefault="00234DED" w:rsidP="00234DED">
      <w:pPr>
        <w:rPr>
          <w:b/>
          <w:bCs/>
        </w:rPr>
      </w:pPr>
      <w:r w:rsidRPr="00234DED">
        <w:rPr>
          <w:b/>
          <w:bCs/>
        </w:rPr>
        <w:lastRenderedPageBreak/>
        <w:t>Klinische Relevanz:</w:t>
      </w:r>
    </w:p>
    <w:p w14:paraId="2675C5EB" w14:textId="77777777" w:rsidR="00234DED" w:rsidRPr="00234DED" w:rsidRDefault="00234DED" w:rsidP="00234DED">
      <w:pPr>
        <w:numPr>
          <w:ilvl w:val="0"/>
          <w:numId w:val="1"/>
        </w:numPr>
      </w:pPr>
      <w:r w:rsidRPr="00234DED">
        <w:t>Arzneimittel-bezogene Probleme pro Jahr durch klinisch-pharmazeutischen Interventionen</w:t>
      </w:r>
    </w:p>
    <w:p w14:paraId="0F36855E" w14:textId="77777777" w:rsidR="00234DED" w:rsidRPr="00234DED" w:rsidRDefault="00234DED" w:rsidP="00234DED">
      <w:pPr>
        <w:numPr>
          <w:ilvl w:val="0"/>
          <w:numId w:val="1"/>
        </w:numPr>
      </w:pPr>
      <w:r w:rsidRPr="00234DED">
        <w:t>perioperativen Medikationsüberprüfungen werden durchgeführt</w:t>
      </w:r>
    </w:p>
    <w:p w14:paraId="39A71515" w14:textId="77777777" w:rsidR="00234DED" w:rsidRPr="00234DED" w:rsidRDefault="00234DED" w:rsidP="00234DED">
      <w:pPr>
        <w:numPr>
          <w:ilvl w:val="0"/>
          <w:numId w:val="1"/>
        </w:numPr>
      </w:pPr>
      <w:r w:rsidRPr="00234DED">
        <w:t>Arzneimittelnebenwirkungsmeldungen zur Erhöhung der Arzneimittelsicherheit werden durchgeführt</w:t>
      </w:r>
    </w:p>
    <w:p w14:paraId="59E0875E" w14:textId="77777777" w:rsidR="00234DED" w:rsidRPr="00234DED" w:rsidRDefault="00234DED" w:rsidP="00234DED">
      <w:pPr>
        <w:numPr>
          <w:ilvl w:val="0"/>
          <w:numId w:val="1"/>
        </w:numPr>
      </w:pPr>
      <w:r w:rsidRPr="00234DED">
        <w:t>Konsultationen an der Spezialambulanz für Arzneimitteltherapie und Interaktionen führen zur Vermeidung von Arzneimittelbezogenen Problemen</w:t>
      </w:r>
    </w:p>
    <w:p w14:paraId="15B5F898" w14:textId="77777777" w:rsidR="00234DED" w:rsidRPr="00234DED" w:rsidRDefault="00234DED" w:rsidP="00234DED">
      <w:pPr>
        <w:numPr>
          <w:ilvl w:val="0"/>
          <w:numId w:val="1"/>
        </w:numPr>
      </w:pPr>
      <w:r w:rsidRPr="00234DED">
        <w:t xml:space="preserve">Arzneimittel-bezogene Probleme durch multidisziplinäre </w:t>
      </w:r>
      <w:proofErr w:type="spellStart"/>
      <w:r w:rsidRPr="00234DED">
        <w:t>Antimicrobial</w:t>
      </w:r>
      <w:proofErr w:type="spellEnd"/>
      <w:r w:rsidRPr="00234DED">
        <w:t xml:space="preserve"> Stewardship Visiten können reduziert werden</w:t>
      </w:r>
    </w:p>
    <w:p w14:paraId="010E91B9" w14:textId="77777777" w:rsidR="00234DED" w:rsidRPr="00234DED" w:rsidRDefault="00234DED" w:rsidP="00234DED">
      <w:pPr>
        <w:numPr>
          <w:ilvl w:val="0"/>
          <w:numId w:val="1"/>
        </w:numPr>
      </w:pPr>
      <w:r w:rsidRPr="00234DED">
        <w:t xml:space="preserve">klinisch-pharmazeutische </w:t>
      </w:r>
      <w:proofErr w:type="spellStart"/>
      <w:r w:rsidRPr="00234DED">
        <w:t>Konsile</w:t>
      </w:r>
      <w:proofErr w:type="spellEnd"/>
      <w:r w:rsidRPr="00234DED">
        <w:t xml:space="preserve"> zu spezifischen Arzneimitteltherapie-Fragestellungen können niederschwellig von allen Bereichen des Hauses angefordert werden</w:t>
      </w:r>
    </w:p>
    <w:p w14:paraId="26F92A05" w14:textId="77777777" w:rsidR="00234DED" w:rsidRPr="00234DED" w:rsidRDefault="00234DED" w:rsidP="00234DED">
      <w:r w:rsidRPr="00234DED">
        <w:rPr>
          <w:b/>
          <w:bCs/>
        </w:rPr>
        <w:t>Akzeptanz der Initiative:</w:t>
      </w:r>
      <w:r w:rsidRPr="00234DED">
        <w:rPr>
          <w:b/>
          <w:bCs/>
        </w:rPr>
        <w:br/>
      </w:r>
      <w:r w:rsidRPr="00234DED">
        <w:t xml:space="preserve">Jährlich wird die Akzeptanz </w:t>
      </w:r>
      <w:proofErr w:type="gramStart"/>
      <w:r w:rsidRPr="00234DED">
        <w:t>der klinisch pharmazeutische Tätigkeit</w:t>
      </w:r>
      <w:proofErr w:type="gramEnd"/>
      <w:r w:rsidRPr="00234DED">
        <w:t xml:space="preserve"> mittels online Survey erhoben. An den Umfragen nahmen in den letzten Jahren verschiedene Berufsgruppen teil, hauptsächlich Ärzt</w:t>
      </w:r>
      <w:r w:rsidRPr="00234DED">
        <w:rPr>
          <w:i/>
          <w:iCs/>
        </w:rPr>
        <w:t>innen und Pflegepersonen. Akzeptanz, erzielte konkrete Verbesserungen, ökonomischer Nutzen, Qualität, Umfang und Reaktionszeit der Beratung werden erhoben. Mit der Qualität und dem Umfang der Beratung waren 2025 92% der Umfrageteilnehmer</w:t>
      </w:r>
      <w:r w:rsidRPr="00234DED">
        <w:t>innen sehr zufrieden.</w:t>
      </w:r>
    </w:p>
    <w:p w14:paraId="3FCDC40E" w14:textId="77777777" w:rsidR="00234DED" w:rsidRPr="00234DED" w:rsidRDefault="00234DED" w:rsidP="00234DED">
      <w:r w:rsidRPr="00234DED">
        <w:rPr>
          <w:b/>
          <w:bCs/>
        </w:rPr>
        <w:t>Multidisziplinarität der Initiative:</w:t>
      </w:r>
      <w:r w:rsidRPr="00234DED">
        <w:rPr>
          <w:b/>
          <w:bCs/>
        </w:rPr>
        <w:br/>
      </w:r>
      <w:r w:rsidRPr="00234DED">
        <w:t>Klinische Pharmazeut</w:t>
      </w:r>
      <w:r w:rsidRPr="00234DED">
        <w:rPr>
          <w:i/>
          <w:iCs/>
        </w:rPr>
        <w:t>innen erbringen ihre Beratungsleistung im Team mit Ärzt</w:t>
      </w:r>
      <w:r w:rsidRPr="00234DED">
        <w:t>innen, Pflegepersonen, MTDG, Hebammen, Verwaltung.</w:t>
      </w:r>
    </w:p>
    <w:p w14:paraId="53E721F1" w14:textId="77777777" w:rsidR="00234DED" w:rsidRPr="00234DED" w:rsidRDefault="00234DED" w:rsidP="00234DED">
      <w:pPr>
        <w:rPr>
          <w:b/>
          <w:bCs/>
        </w:rPr>
      </w:pPr>
      <w:r w:rsidRPr="00234DED">
        <w:rPr>
          <w:b/>
          <w:bCs/>
        </w:rPr>
        <w:t>Erzielte Effekte:</w:t>
      </w:r>
    </w:p>
    <w:p w14:paraId="650DFC68" w14:textId="77777777" w:rsidR="00234DED" w:rsidRPr="00234DED" w:rsidRDefault="00234DED" w:rsidP="00234DED">
      <w:pPr>
        <w:numPr>
          <w:ilvl w:val="0"/>
          <w:numId w:val="2"/>
        </w:numPr>
      </w:pPr>
      <w:r w:rsidRPr="00234DED">
        <w:t>30.000 vermiedene Arzneimittel-bezogene Probleme pro Jahr durch klinisch-pharmazeutischen Interventionen in 62 Stationen und Ambulanzen</w:t>
      </w:r>
    </w:p>
    <w:p w14:paraId="64990429" w14:textId="77777777" w:rsidR="00234DED" w:rsidRPr="00234DED" w:rsidRDefault="00234DED" w:rsidP="00234DED">
      <w:pPr>
        <w:numPr>
          <w:ilvl w:val="0"/>
          <w:numId w:val="2"/>
        </w:numPr>
      </w:pPr>
      <w:r w:rsidRPr="00234DED">
        <w:t>250 höchst signifikante klinisch-pharmazeutische Interventionen (‚</w:t>
      </w:r>
      <w:proofErr w:type="spellStart"/>
      <w:r w:rsidRPr="00234DED">
        <w:t>red</w:t>
      </w:r>
      <w:proofErr w:type="spellEnd"/>
      <w:r w:rsidRPr="00234DED">
        <w:t xml:space="preserve"> </w:t>
      </w:r>
      <w:proofErr w:type="spellStart"/>
      <w:r w:rsidRPr="00234DED">
        <w:t>flags</w:t>
      </w:r>
      <w:proofErr w:type="spellEnd"/>
      <w:r w:rsidRPr="00234DED">
        <w:t>‘) betreffend Hoch-Risiko-Arzneimittel</w:t>
      </w:r>
    </w:p>
    <w:p w14:paraId="5D4185B0" w14:textId="77777777" w:rsidR="00234DED" w:rsidRPr="00234DED" w:rsidRDefault="00234DED" w:rsidP="00234DED">
      <w:pPr>
        <w:numPr>
          <w:ilvl w:val="0"/>
          <w:numId w:val="2"/>
        </w:numPr>
      </w:pPr>
      <w:r w:rsidRPr="00234DED">
        <w:t>2.100 vermiedene Arzneimittel-bezogene Probleme im Zuge von perioperativen Medikationsüberprüfungen.</w:t>
      </w:r>
    </w:p>
    <w:p w14:paraId="35B2A740" w14:textId="77777777" w:rsidR="00234DED" w:rsidRPr="00234DED" w:rsidRDefault="00234DED" w:rsidP="00234DED">
      <w:pPr>
        <w:numPr>
          <w:ilvl w:val="0"/>
          <w:numId w:val="2"/>
        </w:numPr>
      </w:pPr>
      <w:r w:rsidRPr="00234DED">
        <w:t>120 Arzneimittelnebenwirkungsmeldungen zur Erhöhung der Arzneimittelsicherheit pro Jahr</w:t>
      </w:r>
    </w:p>
    <w:p w14:paraId="21C714D3" w14:textId="77777777" w:rsidR="00234DED" w:rsidRPr="00234DED" w:rsidRDefault="00234DED" w:rsidP="00234DED">
      <w:pPr>
        <w:numPr>
          <w:ilvl w:val="0"/>
          <w:numId w:val="2"/>
        </w:numPr>
      </w:pPr>
      <w:r w:rsidRPr="00234DED">
        <w:t xml:space="preserve">500 vermiedene Arzneimittel-bezogene Probleme </w:t>
      </w:r>
      <w:proofErr w:type="gramStart"/>
      <w:r w:rsidRPr="00234DED">
        <w:t>durch multidisziplinäre Patient</w:t>
      </w:r>
      <w:proofErr w:type="gramEnd"/>
      <w:r w:rsidRPr="00234DED">
        <w:t>*innen-Konsultationen an der Spezialambulanz für Arzneimitteltherapie und Interaktionen</w:t>
      </w:r>
    </w:p>
    <w:p w14:paraId="6D769C92" w14:textId="77777777" w:rsidR="00234DED" w:rsidRPr="00234DED" w:rsidRDefault="00234DED" w:rsidP="00234DED">
      <w:pPr>
        <w:numPr>
          <w:ilvl w:val="0"/>
          <w:numId w:val="2"/>
        </w:numPr>
      </w:pPr>
      <w:r w:rsidRPr="00234DED">
        <w:t xml:space="preserve">650 vermiedene Arzneimittel-bezogene Probleme durch multidisziplinäre </w:t>
      </w:r>
      <w:proofErr w:type="spellStart"/>
      <w:r w:rsidRPr="00234DED">
        <w:t>Antimicrobial</w:t>
      </w:r>
      <w:proofErr w:type="spellEnd"/>
      <w:r w:rsidRPr="00234DED">
        <w:t xml:space="preserve"> Stewardship Visiten.</w:t>
      </w:r>
    </w:p>
    <w:p w14:paraId="7A617689" w14:textId="77777777" w:rsidR="00234DED" w:rsidRPr="00234DED" w:rsidRDefault="00234DED" w:rsidP="00234DED">
      <w:pPr>
        <w:numPr>
          <w:ilvl w:val="0"/>
          <w:numId w:val="2"/>
        </w:numPr>
      </w:pPr>
      <w:r w:rsidRPr="00234DED">
        <w:t xml:space="preserve">200 klinisch-pharmazeutische </w:t>
      </w:r>
      <w:proofErr w:type="spellStart"/>
      <w:r w:rsidRPr="00234DED">
        <w:t>Konsile</w:t>
      </w:r>
      <w:proofErr w:type="spellEnd"/>
      <w:r w:rsidRPr="00234DED">
        <w:t xml:space="preserve"> zu spezifischen Arzneimitteltherapie-Fragestellungen</w:t>
      </w:r>
    </w:p>
    <w:p w14:paraId="080D5C62" w14:textId="77777777" w:rsidR="00234DED" w:rsidRPr="00234DED" w:rsidRDefault="00234DED" w:rsidP="00234DED">
      <w:r w:rsidRPr="00234DED">
        <w:rPr>
          <w:b/>
          <w:bCs/>
        </w:rPr>
        <w:t>Sicherstellung der Nachhaltigkeit:</w:t>
      </w:r>
      <w:r w:rsidRPr="00234DED">
        <w:rPr>
          <w:b/>
          <w:bCs/>
        </w:rPr>
        <w:br/>
      </w:r>
      <w:r w:rsidRPr="00234DED">
        <w:t xml:space="preserve">Durch die vom Dienstgeber zur Verfügung gestellten personellen Ressourcen ist eine dauerhafte Betreuung mit klinisch pharmazeutischer Beratungsleistung sichergestellt. Diese wird mit Hilfe des implementierten Qualitätsmanagementsystems </w:t>
      </w:r>
      <w:proofErr w:type="gramStart"/>
      <w:r w:rsidRPr="00234DED">
        <w:t>von allen klinischen Pharmazeut</w:t>
      </w:r>
      <w:proofErr w:type="gramEnd"/>
      <w:r w:rsidRPr="00234DED">
        <w:t>*innen in der gleichen Art und Qualität durchgeführt.</w:t>
      </w:r>
    </w:p>
    <w:p w14:paraId="039DE3C3" w14:textId="77777777" w:rsidR="00234DED" w:rsidRPr="00234DED" w:rsidRDefault="00234DED" w:rsidP="00234DED">
      <w:r w:rsidRPr="00234DED">
        <w:rPr>
          <w:b/>
          <w:bCs/>
        </w:rPr>
        <w:lastRenderedPageBreak/>
        <w:t xml:space="preserve">Conflict </w:t>
      </w:r>
      <w:proofErr w:type="spellStart"/>
      <w:r w:rsidRPr="00234DED">
        <w:rPr>
          <w:b/>
          <w:bCs/>
        </w:rPr>
        <w:t>of</w:t>
      </w:r>
      <w:proofErr w:type="spellEnd"/>
      <w:r w:rsidRPr="00234DED">
        <w:rPr>
          <w:b/>
          <w:bCs/>
        </w:rPr>
        <w:t xml:space="preserve"> Interest:</w:t>
      </w:r>
      <w:r w:rsidRPr="00234DED">
        <w:rPr>
          <w:b/>
          <w:bCs/>
        </w:rPr>
        <w:br/>
      </w:r>
      <w:r w:rsidRPr="00234DED">
        <w:t>Keine Konflikte vorhanden.</w:t>
      </w:r>
    </w:p>
    <w:p w14:paraId="5B37603E" w14:textId="77777777" w:rsidR="00234DED" w:rsidRPr="00234DED" w:rsidRDefault="00234DED" w:rsidP="00234DED">
      <w:r w:rsidRPr="00234DED">
        <w:rPr>
          <w:b/>
          <w:bCs/>
        </w:rPr>
        <w:t>Projektdauer:</w:t>
      </w:r>
      <w:r w:rsidRPr="00234DED">
        <w:rPr>
          <w:b/>
          <w:bCs/>
        </w:rPr>
        <w:br/>
      </w:r>
      <w:r w:rsidRPr="00234DED">
        <w:t>Das Projekt wurde bereits in den Routinebetrieb übernommen.</w:t>
      </w:r>
    </w:p>
    <w:p w14:paraId="76741166" w14:textId="77777777" w:rsidR="00234DED" w:rsidRPr="00234DED" w:rsidRDefault="00234DED" w:rsidP="00234DED">
      <w:r w:rsidRPr="00234DED">
        <w:rPr>
          <w:b/>
          <w:bCs/>
        </w:rPr>
        <w:t>Vorname Nachname:</w:t>
      </w:r>
      <w:r w:rsidRPr="00234DED">
        <w:rPr>
          <w:b/>
          <w:bCs/>
        </w:rPr>
        <w:br/>
      </w:r>
      <w:r w:rsidRPr="00234DED">
        <w:t xml:space="preserve">Gerda </w:t>
      </w:r>
      <w:proofErr w:type="spellStart"/>
      <w:r w:rsidRPr="00234DED">
        <w:t>Laml</w:t>
      </w:r>
      <w:proofErr w:type="spellEnd"/>
      <w:r w:rsidRPr="00234DED">
        <w:t>-Wallner</w:t>
      </w:r>
    </w:p>
    <w:p w14:paraId="5DCC5EF4" w14:textId="77777777" w:rsidR="00234DED" w:rsidRPr="00234DED" w:rsidRDefault="00234DED" w:rsidP="00234DED">
      <w:r w:rsidRPr="00234DED">
        <w:rPr>
          <w:b/>
          <w:bCs/>
        </w:rPr>
        <w:t>Adresse:</w:t>
      </w:r>
      <w:r w:rsidRPr="00234DED">
        <w:rPr>
          <w:b/>
          <w:bCs/>
        </w:rPr>
        <w:br/>
      </w:r>
      <w:r w:rsidRPr="00234DED">
        <w:t>Währinger Gürtel 18-20</w:t>
      </w:r>
    </w:p>
    <w:p w14:paraId="04639BDF" w14:textId="77777777" w:rsidR="00234DED" w:rsidRPr="00234DED" w:rsidRDefault="00234DED" w:rsidP="00234DED">
      <w:proofErr w:type="gramStart"/>
      <w:r w:rsidRPr="00234DED">
        <w:rPr>
          <w:b/>
          <w:bCs/>
        </w:rPr>
        <w:t>PLZ Ort</w:t>
      </w:r>
      <w:proofErr w:type="gramEnd"/>
      <w:r w:rsidRPr="00234DED">
        <w:rPr>
          <w:b/>
          <w:bCs/>
        </w:rPr>
        <w:t>:</w:t>
      </w:r>
      <w:r w:rsidRPr="00234DED">
        <w:rPr>
          <w:b/>
          <w:bCs/>
        </w:rPr>
        <w:br/>
      </w:r>
      <w:r w:rsidRPr="00234DED">
        <w:t>1090</w:t>
      </w:r>
    </w:p>
    <w:p w14:paraId="7C5F7CB2" w14:textId="77777777" w:rsidR="00234DED" w:rsidRPr="00234DED" w:rsidRDefault="00234DED" w:rsidP="00234DED">
      <w:r w:rsidRPr="00234DED">
        <w:rPr>
          <w:b/>
          <w:bCs/>
        </w:rPr>
        <w:t>Telefon:</w:t>
      </w:r>
      <w:r w:rsidRPr="00234DED">
        <w:rPr>
          <w:b/>
          <w:bCs/>
        </w:rPr>
        <w:br/>
      </w:r>
      <w:r w:rsidRPr="00234DED">
        <w:t>014040014590</w:t>
      </w:r>
    </w:p>
    <w:p w14:paraId="763FABD3" w14:textId="77777777" w:rsidR="00234DED" w:rsidRPr="00234DED" w:rsidRDefault="00234DED" w:rsidP="00234DED">
      <w:r w:rsidRPr="00234DED">
        <w:rPr>
          <w:b/>
          <w:bCs/>
        </w:rPr>
        <w:t>E-Mail:</w:t>
      </w:r>
      <w:r w:rsidRPr="00234DED">
        <w:rPr>
          <w:b/>
          <w:bCs/>
        </w:rPr>
        <w:br/>
      </w:r>
      <w:hyperlink r:id="rId5" w:tgtFrame="_blank" w:history="1">
        <w:r w:rsidRPr="00234DED">
          <w:rPr>
            <w:rStyle w:val="Hyperlink"/>
          </w:rPr>
          <w:t>gerda.laml-wallner@akhwien.at</w:t>
        </w:r>
      </w:hyperlink>
    </w:p>
    <w:p w14:paraId="09218027" w14:textId="77777777" w:rsidR="00234DED" w:rsidRPr="00234DED" w:rsidRDefault="00234DED" w:rsidP="00234DED">
      <w:r w:rsidRPr="00234DED">
        <w:rPr>
          <w:b/>
          <w:bCs/>
        </w:rPr>
        <w:t>Name des Trägers:</w:t>
      </w:r>
      <w:r w:rsidRPr="00234DED">
        <w:rPr>
          <w:b/>
          <w:bCs/>
        </w:rPr>
        <w:br/>
      </w:r>
      <w:r w:rsidRPr="00234DED">
        <w:t>Wiener Gesundheitsverbund Universitätsklinikum AKH Wien</w:t>
      </w:r>
    </w:p>
    <w:p w14:paraId="76AC0AEE"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395E"/>
    <w:multiLevelType w:val="multilevel"/>
    <w:tmpl w:val="0B4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310F4"/>
    <w:multiLevelType w:val="multilevel"/>
    <w:tmpl w:val="32BA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74249">
    <w:abstractNumId w:val="0"/>
  </w:num>
  <w:num w:numId="2" w16cid:durableId="1030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ED"/>
    <w:rsid w:val="00234DED"/>
    <w:rsid w:val="00292B62"/>
    <w:rsid w:val="003D782E"/>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35E4"/>
  <w15:chartTrackingRefBased/>
  <w15:docId w15:val="{6571DD2A-B77E-404F-9CA7-FE535DC7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4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34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34DE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34DE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34DE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34D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4D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4D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4D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4DE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34DE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34DE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34DE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34DE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34D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4D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4D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4DED"/>
    <w:rPr>
      <w:rFonts w:eastAsiaTheme="majorEastAsia" w:cstheme="majorBidi"/>
      <w:color w:val="272727" w:themeColor="text1" w:themeTint="D8"/>
    </w:rPr>
  </w:style>
  <w:style w:type="paragraph" w:styleId="Titel">
    <w:name w:val="Title"/>
    <w:basedOn w:val="Standard"/>
    <w:next w:val="Standard"/>
    <w:link w:val="TitelZchn"/>
    <w:uiPriority w:val="10"/>
    <w:qFormat/>
    <w:rsid w:val="00234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D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4D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4D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4D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4DED"/>
    <w:rPr>
      <w:i/>
      <w:iCs/>
      <w:color w:val="404040" w:themeColor="text1" w:themeTint="BF"/>
    </w:rPr>
  </w:style>
  <w:style w:type="paragraph" w:styleId="Listenabsatz">
    <w:name w:val="List Paragraph"/>
    <w:basedOn w:val="Standard"/>
    <w:uiPriority w:val="34"/>
    <w:qFormat/>
    <w:rsid w:val="00234DED"/>
    <w:pPr>
      <w:ind w:left="720"/>
      <w:contextualSpacing/>
    </w:pPr>
  </w:style>
  <w:style w:type="character" w:styleId="IntensiveHervorhebung">
    <w:name w:val="Intense Emphasis"/>
    <w:basedOn w:val="Absatz-Standardschriftart"/>
    <w:uiPriority w:val="21"/>
    <w:qFormat/>
    <w:rsid w:val="00234DED"/>
    <w:rPr>
      <w:i/>
      <w:iCs/>
      <w:color w:val="2F5496" w:themeColor="accent1" w:themeShade="BF"/>
    </w:rPr>
  </w:style>
  <w:style w:type="paragraph" w:styleId="IntensivesZitat">
    <w:name w:val="Intense Quote"/>
    <w:basedOn w:val="Standard"/>
    <w:next w:val="Standard"/>
    <w:link w:val="IntensivesZitatZchn"/>
    <w:uiPriority w:val="30"/>
    <w:qFormat/>
    <w:rsid w:val="00234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34DED"/>
    <w:rPr>
      <w:i/>
      <w:iCs/>
      <w:color w:val="2F5496" w:themeColor="accent1" w:themeShade="BF"/>
    </w:rPr>
  </w:style>
  <w:style w:type="character" w:styleId="IntensiverVerweis">
    <w:name w:val="Intense Reference"/>
    <w:basedOn w:val="Absatz-Standardschriftart"/>
    <w:uiPriority w:val="32"/>
    <w:qFormat/>
    <w:rsid w:val="00234DED"/>
    <w:rPr>
      <w:b/>
      <w:bCs/>
      <w:smallCaps/>
      <w:color w:val="2F5496" w:themeColor="accent1" w:themeShade="BF"/>
      <w:spacing w:val="5"/>
    </w:rPr>
  </w:style>
  <w:style w:type="character" w:styleId="Hyperlink">
    <w:name w:val="Hyperlink"/>
    <w:basedOn w:val="Absatz-Standardschriftart"/>
    <w:uiPriority w:val="99"/>
    <w:unhideWhenUsed/>
    <w:rsid w:val="00234DED"/>
    <w:rPr>
      <w:color w:val="0563C1" w:themeColor="hyperlink"/>
      <w:u w:val="single"/>
    </w:rPr>
  </w:style>
  <w:style w:type="character" w:styleId="NichtaufgelsteErwhnung">
    <w:name w:val="Unresolved Mention"/>
    <w:basedOn w:val="Absatz-Standardschriftart"/>
    <w:uiPriority w:val="99"/>
    <w:semiHidden/>
    <w:unhideWhenUsed/>
    <w:rsid w:val="0023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5475">
      <w:bodyDiv w:val="1"/>
      <w:marLeft w:val="0"/>
      <w:marRight w:val="0"/>
      <w:marTop w:val="0"/>
      <w:marBottom w:val="0"/>
      <w:divBdr>
        <w:top w:val="none" w:sz="0" w:space="0" w:color="auto"/>
        <w:left w:val="none" w:sz="0" w:space="0" w:color="auto"/>
        <w:bottom w:val="none" w:sz="0" w:space="0" w:color="auto"/>
        <w:right w:val="none" w:sz="0" w:space="0" w:color="auto"/>
      </w:divBdr>
    </w:div>
    <w:div w:id="6887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gerda.laml-wallner%40akhwien.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5722</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2025-07-15T12:13:00Z</dcterms:created>
  <dcterms:modified xsi:type="dcterms:W3CDTF">2025-07-15T12:14:00Z</dcterms:modified>
</cp:coreProperties>
</file>